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BULGULAR: MODEL OPTİMİZASYONU VE SİMÜLASYON DOĞRULAMASI</w:t>
      </w:r>
    </w:p>
    <w:p>
      <w:pPr>
        <w:spacing w:after="150"/>
      </w:pPr>
      <w:r>
        <w:rPr>
          <w:b w:val="false"/>
          <w:bCs w:val="false"/>
          <w:i w:val="false"/>
          <w:iCs w:val="false"/>
        </w:rPr>
        <w:t xml:space="preserve">Bu bölüm, ön değerlendirme raporunda (bkz. Bölüm 4) tespit edilen üç metodolojik eksikliğin giderilmesi kapsamında yürütülen ek analizleri raporlamaktadır: (i) şampiyon modelin aşırı dallanma (overfitting) riskine karşı yeniden optimize edilmesi, (ii) bir derin öğrenme modelinin (MLP) karşılaştırmaya dahil edilmesi ve (iii) bekleme süresi kazanımının Kesikli Olay Simülasyonu (DES) ile bağımsız olarak doğrulanması. Tüm analizlerde, Bölüm 1'de tanımlanan aynı veri seti (Kaggle “Medical Appointment No Shows”, Brezilya, N=110.527 ham kayıt) ve aynı %80/%20 tabakalı eğitim/dış test bölünmesi (37.312 / 9.329) kullanılmıştır; veri kaynağı değiştirilmemiştir.</w:t>
      </w:r>
    </w:p>
    <w:p>
      <w:pPr>
        <w:pStyle w:val="Heading2"/>
        <w:spacing w:after="150" w:before="300"/>
      </w:pPr>
      <w:r>
        <w:t xml:space="preserve">1. Aşırı Dallanma (Overfitting) Tanısı</w:t>
      </w:r>
    </w:p>
    <w:p>
      <w:pPr>
        <w:spacing w:after="150"/>
      </w:pPr>
      <w:r>
        <w:rPr>
          <w:b w:val="false"/>
          <w:bCs w:val="false"/>
          <w:i w:val="false"/>
          <w:iCs w:val="false"/>
        </w:rPr>
        <w:t xml:space="preserve">İlk şampiyon Random Forest modeli, sklearn varsayılan hiperparametreleriyle (sınırsız derinlik, min_samples_leaf=1) eğitilmişti. Tanı analizinde, ağaçların eğitim verisinde ortalama 38,9 seviye derinliğe ve ağaç başına ortalama 5.385 yaprağa kadar dallandığı; bunun sonucunda modelin eğitim verisini kısmen ezberlediği tespit edilmiştir: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79"/>
        <w:gridCol w:w="2057"/>
        <w:gridCol w:w="2057"/>
        <w:gridCol w:w="2057"/>
      </w:tblGrid>
      <w:tr>
        <w:trPr>
          <w:tblHeader/>
        </w:trPr>
        <w:tc>
          <w:tcPr>
            <w:tcW w:type="dxa" w:w="3179"/>
            <w:shd w:fill="2F5496" w:val="clear"/>
            <w:tcMar>
              <w:top w:type="dxa" w:w="80"/>
              <w:left w:type="dxa" w:w="120"/>
              <w:bottom w:type="dxa" w:w="80"/>
              <w:right w:type="dxa" w:w="120"/>
            </w:tcMar>
          </w:tcPr>
          <w:p>
            <w:pPr>
              <w:jc w:val="center"/>
            </w:pPr>
            <w:r>
              <w:rPr>
                <w:b/>
                <w:bCs/>
                <w:color w:val="FFFFFF"/>
                <w:sz w:val="20"/>
                <w:szCs w:val="20"/>
              </w:rPr>
              <w:t xml:space="preserve">Metrik</w:t>
            </w:r>
          </w:p>
        </w:tc>
        <w:tc>
          <w:tcPr>
            <w:tcW w:type="dxa" w:w="2057"/>
            <w:shd w:fill="2F5496" w:val="clear"/>
            <w:tcMar>
              <w:top w:type="dxa" w:w="80"/>
              <w:left w:type="dxa" w:w="120"/>
              <w:bottom w:type="dxa" w:w="80"/>
              <w:right w:type="dxa" w:w="120"/>
            </w:tcMar>
          </w:tcPr>
          <w:p>
            <w:pPr>
              <w:jc w:val="center"/>
            </w:pPr>
            <w:r>
              <w:rPr>
                <w:b/>
                <w:bCs/>
                <w:color w:val="FFFFFF"/>
                <w:sz w:val="20"/>
                <w:szCs w:val="20"/>
              </w:rPr>
              <w:t xml:space="preserve">Eğitim Seti (Train)</w:t>
            </w:r>
          </w:p>
        </w:tc>
        <w:tc>
          <w:tcPr>
            <w:tcW w:type="dxa" w:w="2057"/>
            <w:shd w:fill="2F5496" w:val="clear"/>
            <w:tcMar>
              <w:top w:type="dxa" w:w="80"/>
              <w:left w:type="dxa" w:w="120"/>
              <w:bottom w:type="dxa" w:w="80"/>
              <w:right w:type="dxa" w:w="120"/>
            </w:tcMar>
          </w:tcPr>
          <w:p>
            <w:pPr>
              <w:jc w:val="center"/>
            </w:pPr>
            <w:r>
              <w:rPr>
                <w:b/>
                <w:bCs/>
                <w:color w:val="FFFFFF"/>
                <w:sz w:val="20"/>
                <w:szCs w:val="20"/>
              </w:rPr>
              <w:t xml:space="preserve">Dış Test Seti</w:t>
            </w:r>
          </w:p>
        </w:tc>
        <w:tc>
          <w:tcPr>
            <w:tcW w:type="dxa" w:w="2057"/>
            <w:shd w:fill="2F5496" w:val="clear"/>
            <w:tcMar>
              <w:top w:type="dxa" w:w="80"/>
              <w:left w:type="dxa" w:w="120"/>
              <w:bottom w:type="dxa" w:w="80"/>
              <w:right w:type="dxa" w:w="120"/>
            </w:tcMar>
          </w:tcPr>
          <w:p>
            <w:pPr>
              <w:jc w:val="center"/>
            </w:pPr>
            <w:r>
              <w:rPr>
                <w:b/>
                <w:bCs/>
                <w:color w:val="FFFFFF"/>
                <w:sz w:val="20"/>
                <w:szCs w:val="20"/>
              </w:rPr>
              <w:t xml:space="preserve">Fark (Ezber Göstergesi)</w:t>
            </w:r>
          </w:p>
        </w:tc>
      </w:tr>
      <w:tr>
        <w:tc>
          <w:tcPr>
            <w:tcW w:type="dxa" w:w="3179"/>
            <w:tcMar>
              <w:top w:type="dxa" w:w="80"/>
              <w:left w:type="dxa" w:w="120"/>
              <w:bottom w:type="dxa" w:w="80"/>
              <w:right w:type="dxa" w:w="120"/>
            </w:tcMar>
          </w:tcPr>
          <w:p>
            <w:pPr>
              <w:jc w:val="left"/>
            </w:pPr>
            <w:r>
              <w:rPr>
                <w:b w:val="false"/>
                <w:bCs w:val="false"/>
                <w:color w:val="000000"/>
                <w:sz w:val="20"/>
                <w:szCs w:val="20"/>
              </w:rPr>
              <w:t xml:space="preserve">ROC-AUC</w:t>
            </w:r>
          </w:p>
        </w:tc>
        <w:tc>
          <w:tcPr>
            <w:tcW w:type="dxa" w:w="2057"/>
            <w:tcMar>
              <w:top w:type="dxa" w:w="80"/>
              <w:left w:type="dxa" w:w="120"/>
              <w:bottom w:type="dxa" w:w="80"/>
              <w:right w:type="dxa" w:w="120"/>
            </w:tcMar>
          </w:tcPr>
          <w:p>
            <w:pPr>
              <w:jc w:val="center"/>
            </w:pPr>
            <w:r>
              <w:rPr>
                <w:b w:val="false"/>
                <w:bCs w:val="false"/>
                <w:color w:val="000000"/>
                <w:sz w:val="20"/>
                <w:szCs w:val="20"/>
              </w:rPr>
              <w:t xml:space="preserve">0,9995</w:t>
            </w:r>
          </w:p>
        </w:tc>
        <w:tc>
          <w:tcPr>
            <w:tcW w:type="dxa" w:w="2057"/>
            <w:tcMar>
              <w:top w:type="dxa" w:w="80"/>
              <w:left w:type="dxa" w:w="120"/>
              <w:bottom w:type="dxa" w:w="80"/>
              <w:right w:type="dxa" w:w="120"/>
            </w:tcMar>
          </w:tcPr>
          <w:p>
            <w:pPr>
              <w:jc w:val="center"/>
            </w:pPr>
            <w:r>
              <w:rPr>
                <w:b w:val="false"/>
                <w:bCs w:val="false"/>
                <w:color w:val="000000"/>
                <w:sz w:val="20"/>
                <w:szCs w:val="20"/>
              </w:rPr>
              <w:t xml:space="preserve">0,7934</w:t>
            </w:r>
          </w:p>
        </w:tc>
        <w:tc>
          <w:tcPr>
            <w:tcW w:type="dxa" w:w="2057"/>
            <w:tcMar>
              <w:top w:type="dxa" w:w="80"/>
              <w:left w:type="dxa" w:w="120"/>
              <w:bottom w:type="dxa" w:w="80"/>
              <w:right w:type="dxa" w:w="120"/>
            </w:tcMar>
          </w:tcPr>
          <w:p>
            <w:pPr>
              <w:jc w:val="center"/>
            </w:pPr>
            <w:r>
              <w:rPr>
                <w:b w:val="false"/>
                <w:bCs w:val="false"/>
                <w:color w:val="000000"/>
                <w:sz w:val="20"/>
                <w:szCs w:val="20"/>
              </w:rPr>
              <w:t xml:space="preserve">0,2061</w:t>
            </w:r>
          </w:p>
        </w:tc>
      </w:tr>
      <w:tr>
        <w:tc>
          <w:tcPr>
            <w:tcW w:type="dxa" w:w="3179"/>
            <w:tcMar>
              <w:top w:type="dxa" w:w="80"/>
              <w:left w:type="dxa" w:w="120"/>
              <w:bottom w:type="dxa" w:w="80"/>
              <w:right w:type="dxa" w:w="120"/>
            </w:tcMar>
          </w:tcPr>
          <w:p>
            <w:pPr>
              <w:jc w:val="left"/>
            </w:pPr>
            <w:r>
              <w:rPr>
                <w:b w:val="false"/>
                <w:bCs w:val="false"/>
                <w:color w:val="000000"/>
                <w:sz w:val="20"/>
                <w:szCs w:val="20"/>
              </w:rPr>
              <w:t xml:space="preserve">PR-AUC (AP)</w:t>
            </w:r>
          </w:p>
        </w:tc>
        <w:tc>
          <w:tcPr>
            <w:tcW w:type="dxa" w:w="2057"/>
            <w:tcMar>
              <w:top w:type="dxa" w:w="80"/>
              <w:left w:type="dxa" w:w="120"/>
              <w:bottom w:type="dxa" w:w="80"/>
              <w:right w:type="dxa" w:w="120"/>
            </w:tcMar>
          </w:tcPr>
          <w:p>
            <w:pPr>
              <w:jc w:val="center"/>
            </w:pPr>
            <w:r>
              <w:rPr>
                <w:b w:val="false"/>
                <w:bCs w:val="false"/>
                <w:color w:val="000000"/>
                <w:sz w:val="20"/>
                <w:szCs w:val="20"/>
              </w:rPr>
              <w:t xml:space="preserve">0,9952</w:t>
            </w:r>
          </w:p>
        </w:tc>
        <w:tc>
          <w:tcPr>
            <w:tcW w:type="dxa" w:w="2057"/>
            <w:tcMar>
              <w:top w:type="dxa" w:w="80"/>
              <w:left w:type="dxa" w:w="120"/>
              <w:bottom w:type="dxa" w:w="80"/>
              <w:right w:type="dxa" w:w="120"/>
            </w:tcMar>
          </w:tcPr>
          <w:p>
            <w:pPr>
              <w:jc w:val="center"/>
            </w:pPr>
            <w:r>
              <w:rPr>
                <w:b w:val="false"/>
                <w:bCs w:val="false"/>
                <w:color w:val="000000"/>
                <w:sz w:val="20"/>
                <w:szCs w:val="20"/>
              </w:rPr>
              <w:t xml:space="preserve">0,3475</w:t>
            </w:r>
          </w:p>
        </w:tc>
        <w:tc>
          <w:tcPr>
            <w:tcW w:type="dxa" w:w="2057"/>
            <w:tcMar>
              <w:top w:type="dxa" w:w="80"/>
              <w:left w:type="dxa" w:w="120"/>
              <w:bottom w:type="dxa" w:w="80"/>
              <w:right w:type="dxa" w:w="120"/>
            </w:tcMar>
          </w:tcPr>
          <w:p>
            <w:pPr>
              <w:jc w:val="center"/>
            </w:pPr>
            <w:r>
              <w:rPr>
                <w:b w:val="false"/>
                <w:bCs w:val="false"/>
                <w:color w:val="000000"/>
                <w:sz w:val="20"/>
                <w:szCs w:val="20"/>
              </w:rPr>
              <w:t xml:space="preserve">0,6476</w:t>
            </w:r>
          </w:p>
        </w:tc>
      </w:tr>
      <w:tr>
        <w:tc>
          <w:tcPr>
            <w:tcW w:type="dxa" w:w="3179"/>
            <w:tcMar>
              <w:top w:type="dxa" w:w="80"/>
              <w:left w:type="dxa" w:w="120"/>
              <w:bottom w:type="dxa" w:w="80"/>
              <w:right w:type="dxa" w:w="120"/>
            </w:tcMar>
          </w:tcPr>
          <w:p>
            <w:pPr>
              <w:jc w:val="left"/>
            </w:pPr>
            <w:r>
              <w:rPr>
                <w:b w:val="false"/>
                <w:bCs w:val="false"/>
                <w:color w:val="000000"/>
                <w:sz w:val="20"/>
                <w:szCs w:val="20"/>
              </w:rPr>
              <w:t xml:space="preserve">Ortalama Ağaç Derinliği</w:t>
            </w:r>
          </w:p>
        </w:tc>
        <w:tc>
          <w:tcPr>
            <w:tcW w:type="dxa" w:w="2057"/>
            <w:tcMar>
              <w:top w:type="dxa" w:w="80"/>
              <w:left w:type="dxa" w:w="120"/>
              <w:bottom w:type="dxa" w:w="80"/>
              <w:right w:type="dxa" w:w="120"/>
            </w:tcMar>
          </w:tcPr>
          <w:p>
            <w:pPr>
              <w:jc w:val="center"/>
            </w:pPr>
            <w:r>
              <w:rPr>
                <w:b w:val="false"/>
                <w:bCs w:val="false"/>
                <w:color w:val="000000"/>
                <w:sz w:val="20"/>
                <w:szCs w:val="20"/>
              </w:rPr>
              <w:t xml:space="preserve">38,9 (maks. 47)</w:t>
            </w:r>
          </w:p>
        </w:tc>
        <w:tc>
          <w:tcPr>
            <w:tcW w:type="dxa" w:w="2057"/>
            <w:tcMar>
              <w:top w:type="dxa" w:w="80"/>
              <w:left w:type="dxa" w:w="120"/>
              <w:bottom w:type="dxa" w:w="80"/>
              <w:right w:type="dxa" w:w="120"/>
            </w:tcMar>
          </w:tcPr>
          <w:p>
            <w:pPr>
              <w:jc w:val="center"/>
            </w:pPr>
            <w:r>
              <w:rPr>
                <w:b w:val="false"/>
                <w:bCs w:val="false"/>
                <w:color w:val="000000"/>
                <w:sz w:val="20"/>
                <w:szCs w:val="20"/>
              </w:rPr>
              <w:t xml:space="preserve">—</w:t>
            </w:r>
          </w:p>
        </w:tc>
        <w:tc>
          <w:tcPr>
            <w:tcW w:type="dxa" w:w="2057"/>
            <w:tcMar>
              <w:top w:type="dxa" w:w="80"/>
              <w:left w:type="dxa" w:w="120"/>
              <w:bottom w:type="dxa" w:w="80"/>
              <w:right w:type="dxa" w:w="120"/>
            </w:tcMar>
          </w:tcPr>
          <w:p>
            <w:pPr>
              <w:jc w:val="center"/>
            </w:pPr>
            <w:r>
              <w:rPr>
                <w:b w:val="false"/>
                <w:bCs w:val="false"/>
                <w:color w:val="000000"/>
                <w:sz w:val="20"/>
                <w:szCs w:val="20"/>
              </w:rPr>
              <w:t xml:space="preserve">—</w:t>
            </w:r>
          </w:p>
        </w:tc>
      </w:tr>
    </w:tbl>
    <w:p>
      <w:pPr>
        <w:spacing w:after="150"/>
      </w:pPr>
      <w:r>
        <w:rPr>
          <w:b w:val="false"/>
          <w:bCs w:val="false"/>
          <w:i/>
          <w:iCs/>
        </w:rPr>
        <w:t xml:space="preserve">Eğitim ve dış test performansı arasındaki büyük fark (ΔROC-AUC=0,21), modelin genelleme kapasitesinden çok, eğitim verisine özgü gürültüyü öğrendiğinin kanıtıdır.</w:t>
      </w:r>
    </w:p>
    <w:p>
      <w:pPr>
        <w:pStyle w:val="Heading2"/>
        <w:spacing w:after="150" w:before="300"/>
      </w:pPr>
      <w:r>
        <w:t xml:space="preserve">2. Sızıntısız Regularizasyon Protokolü</w:t>
      </w:r>
    </w:p>
    <w:p>
      <w:pPr>
        <w:spacing w:after="150"/>
      </w:pPr>
      <w:r>
        <w:rPr>
          <w:b w:val="false"/>
          <w:bCs w:val="false"/>
          <w:i w:val="false"/>
          <w:iCs w:val="false"/>
        </w:rPr>
        <w:t xml:space="preserve">Aşırı dallanmayı sınırlamak için, yalnızca eğitim seti üzerinde ve 5 katlı tabakalı çapraz doğrulama (StratifiedKFold) ile bir hiperparametre araması yürütülmüştür. Saklı dış test seti arama sürecine hiçbir şekilde dahil edilmemiş; yalnızca en sonda, tek seferlik nihai değerlendirme için açılmıştır. Bu, projenin Bölüm 1'de tanımlanan sızıntısız (leakage-free) pipeline ilkesini korumaktadır.</w:t>
      </w:r>
    </w:p>
    <w:p>
      <w:pPr>
        <w:spacing w:after="150"/>
      </w:pPr>
      <w:r>
        <w:rPr>
          <w:b w:val="false"/>
          <w:bCs w:val="false"/>
          <w:i w:val="false"/>
          <w:iCs w:val="false"/>
        </w:rPr>
        <w:t xml:space="preserve">Arama, ağaç derinliği (max_depth), yaprak/bölünme büyüklüğü (min_samples_leaf, min_samples_split) ve öznitelik alt küme oranı (max_features) parametrelerini kapsamıştır. Bulgular, aşırı dallanmanın asıl kaynağının ağaç derinliğinden çok, sklearn'ün varsayılan max_features=√p kısıtlaması (78 öznitelikten yalnızca ~9'u) olduğunu göstermiştir; bu oranın 0,4'e (~31 öznitelik/bölünme) çekilmesi, hem ağaç başına bilgi kapasitesini artırmış hem de eğitim-test performans farkını daraltmıştır. Nihai hiperparametre kümesi: n_estimators=300, max_depth=25, min_samples_leaf=2, min_samples_split=5, max_features=0,4.</w:t>
      </w:r>
    </w:p>
    <w:p>
      <w:pPr>
        <w:pStyle w:val="Heading2"/>
        <w:spacing w:after="150" w:before="300"/>
      </w:pPr>
      <w:r>
        <w:t xml:space="preserve">3. Optimize Edilmiş Şampiyon Modelin Dış Test Performansı</w:t>
      </w:r>
    </w:p>
    <w:p>
      <w:pPr>
        <w:spacing w:after="150"/>
      </w:pPr>
      <w:r>
        <w:rPr>
          <w:b w:val="false"/>
          <w:bCs w:val="false"/>
          <w:i w:val="false"/>
          <w:iCs w:val="false"/>
        </w:rPr>
        <w:t xml:space="preserve">Yeni hiperparametrelerle eğitilen model, saklı dış test setinde (N=9.329) tüm eşikten bağımsız metriklerde önceki şampiyonu geride bırakmıştır: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1216"/>
        <w:gridCol w:w="1216"/>
        <w:gridCol w:w="1029"/>
        <w:gridCol w:w="1496"/>
        <w:gridCol w:w="1590"/>
      </w:tblGrid>
      <w:tr>
        <w:trPr>
          <w:tblHeader/>
        </w:trPr>
        <w:tc>
          <w:tcPr>
            <w:tcW w:type="dxa" w:w="2805"/>
            <w:shd w:fill="2F5496" w:val="clear"/>
            <w:tcMar>
              <w:top w:type="dxa" w:w="80"/>
              <w:left w:type="dxa" w:w="120"/>
              <w:bottom w:type="dxa" w:w="80"/>
              <w:right w:type="dxa" w:w="120"/>
            </w:tcMar>
          </w:tcPr>
          <w:p>
            <w:pPr>
              <w:jc w:val="center"/>
            </w:pPr>
            <w:r>
              <w:rPr>
                <w:b/>
                <w:bCs/>
                <w:color w:val="FFFFFF"/>
                <w:sz w:val="20"/>
                <w:szCs w:val="20"/>
              </w:rPr>
              <w:t xml:space="preserve">Model</w:t>
            </w:r>
          </w:p>
        </w:tc>
        <w:tc>
          <w:tcPr>
            <w:tcW w:type="dxa" w:w="1216"/>
            <w:shd w:fill="2F5496" w:val="clear"/>
            <w:tcMar>
              <w:top w:type="dxa" w:w="80"/>
              <w:left w:type="dxa" w:w="120"/>
              <w:bottom w:type="dxa" w:w="80"/>
              <w:right w:type="dxa" w:w="120"/>
            </w:tcMar>
          </w:tcPr>
          <w:p>
            <w:pPr>
              <w:jc w:val="center"/>
            </w:pPr>
            <w:r>
              <w:rPr>
                <w:b/>
                <w:bCs/>
                <w:color w:val="FFFFFF"/>
                <w:sz w:val="20"/>
                <w:szCs w:val="20"/>
              </w:rPr>
              <w:t xml:space="preserve">Train ROC-AUC</w:t>
            </w:r>
          </w:p>
        </w:tc>
        <w:tc>
          <w:tcPr>
            <w:tcW w:type="dxa" w:w="1216"/>
            <w:shd w:fill="2F5496" w:val="clear"/>
            <w:tcMar>
              <w:top w:type="dxa" w:w="80"/>
              <w:left w:type="dxa" w:w="120"/>
              <w:bottom w:type="dxa" w:w="80"/>
              <w:right w:type="dxa" w:w="120"/>
            </w:tcMar>
          </w:tcPr>
          <w:p>
            <w:pPr>
              <w:jc w:val="center"/>
            </w:pPr>
            <w:r>
              <w:rPr>
                <w:b/>
                <w:bCs/>
                <w:color w:val="FFFFFF"/>
                <w:sz w:val="20"/>
                <w:szCs w:val="20"/>
              </w:rPr>
              <w:t xml:space="preserve">Dış Test ROC-AUC</w:t>
            </w:r>
          </w:p>
        </w:tc>
        <w:tc>
          <w:tcPr>
            <w:tcW w:type="dxa" w:w="1029"/>
            <w:shd w:fill="2F5496" w:val="clear"/>
            <w:tcMar>
              <w:top w:type="dxa" w:w="80"/>
              <w:left w:type="dxa" w:w="120"/>
              <w:bottom w:type="dxa" w:w="80"/>
              <w:right w:type="dxa" w:w="120"/>
            </w:tcMar>
          </w:tcPr>
          <w:p>
            <w:pPr>
              <w:jc w:val="center"/>
            </w:pPr>
            <w:r>
              <w:rPr>
                <w:b/>
                <w:bCs/>
                <w:color w:val="FFFFFF"/>
                <w:sz w:val="20"/>
                <w:szCs w:val="20"/>
              </w:rPr>
              <w:t xml:space="preserve">Fark (Δ)</w:t>
            </w:r>
          </w:p>
        </w:tc>
        <w:tc>
          <w:tcPr>
            <w:tcW w:type="dxa" w:w="1496"/>
            <w:shd w:fill="2F5496" w:val="clear"/>
            <w:tcMar>
              <w:top w:type="dxa" w:w="80"/>
              <w:left w:type="dxa" w:w="120"/>
              <w:bottom w:type="dxa" w:w="80"/>
              <w:right w:type="dxa" w:w="120"/>
            </w:tcMar>
          </w:tcPr>
          <w:p>
            <w:pPr>
              <w:jc w:val="center"/>
            </w:pPr>
            <w:r>
              <w:rPr>
                <w:b/>
                <w:bCs/>
                <w:color w:val="FFFFFF"/>
                <w:sz w:val="20"/>
                <w:szCs w:val="20"/>
              </w:rPr>
              <w:t xml:space="preserve">Dış Test PR-AUC</w:t>
            </w:r>
          </w:p>
        </w:tc>
        <w:tc>
          <w:tcPr>
            <w:tcW w:type="dxa" w:w="1590"/>
            <w:shd w:fill="2F5496" w:val="clear"/>
            <w:tcMar>
              <w:top w:type="dxa" w:w="80"/>
              <w:left w:type="dxa" w:w="120"/>
              <w:bottom w:type="dxa" w:w="80"/>
              <w:right w:type="dxa" w:w="120"/>
            </w:tcMar>
          </w:tcPr>
          <w:p>
            <w:pPr>
              <w:jc w:val="center"/>
            </w:pPr>
            <w:r>
              <w:rPr>
                <w:b/>
                <w:bCs/>
                <w:color w:val="FFFFFF"/>
                <w:sz w:val="20"/>
                <w:szCs w:val="20"/>
              </w:rPr>
              <w:t xml:space="preserve">Dış Test Brier</w:t>
            </w:r>
          </w:p>
        </w:tc>
      </w:tr>
      <w:tr>
        <w:tc>
          <w:tcPr>
            <w:tcW w:type="dxa" w:w="2805"/>
            <w:tcMar>
              <w:top w:type="dxa" w:w="80"/>
              <w:left w:type="dxa" w:w="120"/>
              <w:bottom w:type="dxa" w:w="80"/>
              <w:right w:type="dxa" w:w="120"/>
            </w:tcMar>
          </w:tcPr>
          <w:p>
            <w:pPr>
              <w:jc w:val="left"/>
            </w:pPr>
            <w:r>
              <w:rPr>
                <w:b w:val="false"/>
                <w:bCs w:val="false"/>
                <w:color w:val="000000"/>
                <w:sz w:val="20"/>
                <w:szCs w:val="20"/>
              </w:rPr>
              <w:t xml:space="preserve">Random Forest (Optimize)</w:t>
            </w:r>
          </w:p>
        </w:tc>
        <w:tc>
          <w:tcPr>
            <w:tcW w:type="dxa" w:w="1216"/>
            <w:tcMar>
              <w:top w:type="dxa" w:w="80"/>
              <w:left w:type="dxa" w:w="120"/>
              <w:bottom w:type="dxa" w:w="80"/>
              <w:right w:type="dxa" w:w="120"/>
            </w:tcMar>
          </w:tcPr>
          <w:p>
            <w:pPr>
              <w:jc w:val="center"/>
            </w:pPr>
            <w:r>
              <w:rPr>
                <w:b w:val="false"/>
                <w:bCs w:val="false"/>
                <w:color w:val="000000"/>
                <w:sz w:val="20"/>
                <w:szCs w:val="20"/>
              </w:rPr>
              <w:t xml:space="preserve">0,9955</w:t>
            </w:r>
          </w:p>
        </w:tc>
        <w:tc>
          <w:tcPr>
            <w:tcW w:type="dxa" w:w="1216"/>
            <w:tcMar>
              <w:top w:type="dxa" w:w="80"/>
              <w:left w:type="dxa" w:w="120"/>
              <w:bottom w:type="dxa" w:w="80"/>
              <w:right w:type="dxa" w:w="120"/>
            </w:tcMar>
          </w:tcPr>
          <w:p>
            <w:pPr>
              <w:jc w:val="center"/>
            </w:pPr>
            <w:r>
              <w:rPr>
                <w:b w:val="false"/>
                <w:bCs w:val="false"/>
                <w:color w:val="000000"/>
                <w:sz w:val="20"/>
                <w:szCs w:val="20"/>
              </w:rPr>
              <w:t xml:space="preserve">0,8153</w:t>
            </w:r>
          </w:p>
        </w:tc>
        <w:tc>
          <w:tcPr>
            <w:tcW w:type="dxa" w:w="1029"/>
            <w:tcMar>
              <w:top w:type="dxa" w:w="80"/>
              <w:left w:type="dxa" w:w="120"/>
              <w:bottom w:type="dxa" w:w="80"/>
              <w:right w:type="dxa" w:w="120"/>
            </w:tcMar>
          </w:tcPr>
          <w:p>
            <w:pPr>
              <w:jc w:val="center"/>
            </w:pPr>
            <w:r>
              <w:rPr>
                <w:b w:val="false"/>
                <w:bCs w:val="false"/>
                <w:color w:val="000000"/>
                <w:sz w:val="20"/>
                <w:szCs w:val="20"/>
              </w:rPr>
              <w:t xml:space="preserve">0,1802</w:t>
            </w:r>
          </w:p>
        </w:tc>
        <w:tc>
          <w:tcPr>
            <w:tcW w:type="dxa" w:w="1496"/>
            <w:tcMar>
              <w:top w:type="dxa" w:w="80"/>
              <w:left w:type="dxa" w:w="120"/>
              <w:bottom w:type="dxa" w:w="80"/>
              <w:right w:type="dxa" w:w="120"/>
            </w:tcMar>
          </w:tcPr>
          <w:p>
            <w:pPr>
              <w:jc w:val="center"/>
            </w:pPr>
            <w:r>
              <w:rPr>
                <w:b w:val="false"/>
                <w:bCs w:val="false"/>
                <w:color w:val="000000"/>
                <w:sz w:val="20"/>
                <w:szCs w:val="20"/>
              </w:rPr>
              <w:t xml:space="preserve">0,4076</w:t>
            </w:r>
          </w:p>
        </w:tc>
        <w:tc>
          <w:tcPr>
            <w:tcW w:type="dxa" w:w="1590"/>
            <w:tcMar>
              <w:top w:type="dxa" w:w="80"/>
              <w:left w:type="dxa" w:w="120"/>
              <w:bottom w:type="dxa" w:w="80"/>
              <w:right w:type="dxa" w:w="120"/>
            </w:tcMar>
          </w:tcPr>
          <w:p>
            <w:pPr>
              <w:jc w:val="center"/>
            </w:pPr>
            <w:r>
              <w:rPr>
                <w:b w:val="false"/>
                <w:bCs w:val="false"/>
                <w:color w:val="000000"/>
                <w:sz w:val="20"/>
                <w:szCs w:val="20"/>
              </w:rPr>
              <w:t xml:space="preserve">0,0738</w:t>
            </w:r>
          </w:p>
        </w:tc>
      </w:tr>
      <w:tr>
        <w:tc>
          <w:tcPr>
            <w:tcW w:type="dxa" w:w="2805"/>
            <w:tcMar>
              <w:top w:type="dxa" w:w="80"/>
              <w:left w:type="dxa" w:w="120"/>
              <w:bottom w:type="dxa" w:w="80"/>
              <w:right w:type="dxa" w:w="120"/>
            </w:tcMar>
          </w:tcPr>
          <w:p>
            <w:pPr>
              <w:jc w:val="left"/>
            </w:pPr>
            <w:r>
              <w:rPr>
                <w:b w:val="false"/>
                <w:bCs w:val="false"/>
                <w:color w:val="000000"/>
                <w:sz w:val="20"/>
                <w:szCs w:val="20"/>
              </w:rPr>
              <w:t xml:space="preserve">Random Forest (Önceki, Budanmamış)</w:t>
            </w:r>
          </w:p>
        </w:tc>
        <w:tc>
          <w:tcPr>
            <w:tcW w:type="dxa" w:w="1216"/>
            <w:tcMar>
              <w:top w:type="dxa" w:w="80"/>
              <w:left w:type="dxa" w:w="120"/>
              <w:bottom w:type="dxa" w:w="80"/>
              <w:right w:type="dxa" w:w="120"/>
            </w:tcMar>
          </w:tcPr>
          <w:p>
            <w:pPr>
              <w:jc w:val="center"/>
            </w:pPr>
            <w:r>
              <w:rPr>
                <w:b w:val="false"/>
                <w:bCs w:val="false"/>
                <w:color w:val="000000"/>
                <w:sz w:val="20"/>
                <w:szCs w:val="20"/>
              </w:rPr>
              <w:t xml:space="preserve">0,9995</w:t>
            </w:r>
          </w:p>
        </w:tc>
        <w:tc>
          <w:tcPr>
            <w:tcW w:type="dxa" w:w="1216"/>
            <w:tcMar>
              <w:top w:type="dxa" w:w="80"/>
              <w:left w:type="dxa" w:w="120"/>
              <w:bottom w:type="dxa" w:w="80"/>
              <w:right w:type="dxa" w:w="120"/>
            </w:tcMar>
          </w:tcPr>
          <w:p>
            <w:pPr>
              <w:jc w:val="center"/>
            </w:pPr>
            <w:r>
              <w:rPr>
                <w:b w:val="false"/>
                <w:bCs w:val="false"/>
                <w:color w:val="000000"/>
                <w:sz w:val="20"/>
                <w:szCs w:val="20"/>
              </w:rPr>
              <w:t xml:space="preserve">0,7934</w:t>
            </w:r>
          </w:p>
        </w:tc>
        <w:tc>
          <w:tcPr>
            <w:tcW w:type="dxa" w:w="1029"/>
            <w:tcMar>
              <w:top w:type="dxa" w:w="80"/>
              <w:left w:type="dxa" w:w="120"/>
              <w:bottom w:type="dxa" w:w="80"/>
              <w:right w:type="dxa" w:w="120"/>
            </w:tcMar>
          </w:tcPr>
          <w:p>
            <w:pPr>
              <w:jc w:val="center"/>
            </w:pPr>
            <w:r>
              <w:rPr>
                <w:b w:val="false"/>
                <w:bCs w:val="false"/>
                <w:color w:val="000000"/>
                <w:sz w:val="20"/>
                <w:szCs w:val="20"/>
              </w:rPr>
              <w:t xml:space="preserve">0,2061</w:t>
            </w:r>
          </w:p>
        </w:tc>
        <w:tc>
          <w:tcPr>
            <w:tcW w:type="dxa" w:w="1496"/>
            <w:tcMar>
              <w:top w:type="dxa" w:w="80"/>
              <w:left w:type="dxa" w:w="120"/>
              <w:bottom w:type="dxa" w:w="80"/>
              <w:right w:type="dxa" w:w="120"/>
            </w:tcMar>
          </w:tcPr>
          <w:p>
            <w:pPr>
              <w:jc w:val="center"/>
            </w:pPr>
            <w:r>
              <w:rPr>
                <w:b w:val="false"/>
                <w:bCs w:val="false"/>
                <w:color w:val="000000"/>
                <w:sz w:val="20"/>
                <w:szCs w:val="20"/>
              </w:rPr>
              <w:t xml:space="preserve">0,3475</w:t>
            </w:r>
          </w:p>
        </w:tc>
        <w:tc>
          <w:tcPr>
            <w:tcW w:type="dxa" w:w="1590"/>
            <w:tcMar>
              <w:top w:type="dxa" w:w="80"/>
              <w:left w:type="dxa" w:w="120"/>
              <w:bottom w:type="dxa" w:w="80"/>
              <w:right w:type="dxa" w:w="120"/>
            </w:tcMar>
          </w:tcPr>
          <w:p>
            <w:pPr>
              <w:jc w:val="center"/>
            </w:pPr>
            <w:r>
              <w:rPr>
                <w:b w:val="false"/>
                <w:bCs w:val="false"/>
                <w:color w:val="000000"/>
                <w:sz w:val="20"/>
                <w:szCs w:val="20"/>
              </w:rPr>
              <w:t xml:space="preserve">0,0773</w:t>
            </w:r>
          </w:p>
        </w:tc>
      </w:tr>
      <w:tr>
        <w:tc>
          <w:tcPr>
            <w:tcW w:type="dxa" w:w="2805"/>
            <w:tcMar>
              <w:top w:type="dxa" w:w="80"/>
              <w:left w:type="dxa" w:w="120"/>
              <w:bottom w:type="dxa" w:w="80"/>
              <w:right w:type="dxa" w:w="120"/>
            </w:tcMar>
          </w:tcPr>
          <w:p>
            <w:pPr>
              <w:jc w:val="left"/>
            </w:pPr>
            <w:r>
              <w:rPr>
                <w:b w:val="false"/>
                <w:bCs w:val="false"/>
                <w:color w:val="000000"/>
                <w:sz w:val="20"/>
                <w:szCs w:val="20"/>
              </w:rPr>
              <w:t xml:space="preserve">XGBoost</w:t>
            </w:r>
          </w:p>
        </w:tc>
        <w:tc>
          <w:tcPr>
            <w:tcW w:type="dxa" w:w="1216"/>
            <w:tcMar>
              <w:top w:type="dxa" w:w="80"/>
              <w:left w:type="dxa" w:w="120"/>
              <w:bottom w:type="dxa" w:w="80"/>
              <w:right w:type="dxa" w:w="120"/>
            </w:tcMar>
          </w:tcPr>
          <w:p>
            <w:pPr>
              <w:jc w:val="center"/>
            </w:pPr>
            <w:r>
              <w:rPr>
                <w:b w:val="false"/>
                <w:bCs w:val="false"/>
                <w:color w:val="000000"/>
                <w:sz w:val="20"/>
                <w:szCs w:val="20"/>
              </w:rPr>
              <w:t xml:space="preserve">0,9454</w:t>
            </w:r>
          </w:p>
        </w:tc>
        <w:tc>
          <w:tcPr>
            <w:tcW w:type="dxa" w:w="1216"/>
            <w:tcMar>
              <w:top w:type="dxa" w:w="80"/>
              <w:left w:type="dxa" w:w="120"/>
              <w:bottom w:type="dxa" w:w="80"/>
              <w:right w:type="dxa" w:w="120"/>
            </w:tcMar>
          </w:tcPr>
          <w:p>
            <w:pPr>
              <w:jc w:val="center"/>
            </w:pPr>
            <w:r>
              <w:rPr>
                <w:b w:val="false"/>
                <w:bCs w:val="false"/>
                <w:color w:val="000000"/>
                <w:sz w:val="20"/>
                <w:szCs w:val="20"/>
              </w:rPr>
              <w:t xml:space="preserve">0,7634</w:t>
            </w:r>
          </w:p>
        </w:tc>
        <w:tc>
          <w:tcPr>
            <w:tcW w:type="dxa" w:w="1029"/>
            <w:tcMar>
              <w:top w:type="dxa" w:w="80"/>
              <w:left w:type="dxa" w:w="120"/>
              <w:bottom w:type="dxa" w:w="80"/>
              <w:right w:type="dxa" w:w="120"/>
            </w:tcMar>
          </w:tcPr>
          <w:p>
            <w:pPr>
              <w:jc w:val="center"/>
            </w:pPr>
            <w:r>
              <w:rPr>
                <w:b w:val="false"/>
                <w:bCs w:val="false"/>
                <w:color w:val="000000"/>
                <w:sz w:val="20"/>
                <w:szCs w:val="20"/>
              </w:rPr>
              <w:t xml:space="preserve">0,1820</w:t>
            </w:r>
          </w:p>
        </w:tc>
        <w:tc>
          <w:tcPr>
            <w:tcW w:type="dxa" w:w="1496"/>
            <w:tcMar>
              <w:top w:type="dxa" w:w="80"/>
              <w:left w:type="dxa" w:w="120"/>
              <w:bottom w:type="dxa" w:w="80"/>
              <w:right w:type="dxa" w:w="120"/>
            </w:tcMar>
          </w:tcPr>
          <w:p>
            <w:pPr>
              <w:jc w:val="center"/>
            </w:pPr>
            <w:r>
              <w:rPr>
                <w:b w:val="false"/>
                <w:bCs w:val="false"/>
                <w:color w:val="000000"/>
                <w:sz w:val="20"/>
                <w:szCs w:val="20"/>
              </w:rPr>
              <w:t xml:space="preserve">0,3087</w:t>
            </w:r>
          </w:p>
        </w:tc>
        <w:tc>
          <w:tcPr>
            <w:tcW w:type="dxa" w:w="1590"/>
            <w:tcMar>
              <w:top w:type="dxa" w:w="80"/>
              <w:left w:type="dxa" w:w="120"/>
              <w:bottom w:type="dxa" w:w="80"/>
              <w:right w:type="dxa" w:w="120"/>
            </w:tcMar>
          </w:tcPr>
          <w:p>
            <w:pPr>
              <w:jc w:val="center"/>
            </w:pPr>
            <w:r>
              <w:rPr>
                <w:b w:val="false"/>
                <w:bCs w:val="false"/>
                <w:color w:val="000000"/>
                <w:sz w:val="20"/>
                <w:szCs w:val="20"/>
              </w:rPr>
              <w:t xml:space="preserve">0,1495</w:t>
            </w:r>
          </w:p>
        </w:tc>
      </w:tr>
      <w:tr>
        <w:tc>
          <w:tcPr>
            <w:tcW w:type="dxa" w:w="2805"/>
            <w:tcMar>
              <w:top w:type="dxa" w:w="80"/>
              <w:left w:type="dxa" w:w="120"/>
              <w:bottom w:type="dxa" w:w="80"/>
              <w:right w:type="dxa" w:w="120"/>
            </w:tcMar>
          </w:tcPr>
          <w:p>
            <w:pPr>
              <w:jc w:val="left"/>
            </w:pPr>
            <w:r>
              <w:rPr>
                <w:b w:val="false"/>
                <w:bCs w:val="false"/>
                <w:color w:val="000000"/>
                <w:sz w:val="20"/>
                <w:szCs w:val="20"/>
              </w:rPr>
              <w:t xml:space="preserve">CatBoost</w:t>
            </w:r>
          </w:p>
        </w:tc>
        <w:tc>
          <w:tcPr>
            <w:tcW w:type="dxa" w:w="1216"/>
            <w:tcMar>
              <w:top w:type="dxa" w:w="80"/>
              <w:left w:type="dxa" w:w="120"/>
              <w:bottom w:type="dxa" w:w="80"/>
              <w:right w:type="dxa" w:w="120"/>
            </w:tcMar>
          </w:tcPr>
          <w:p>
            <w:pPr>
              <w:jc w:val="center"/>
            </w:pPr>
            <w:r>
              <w:rPr>
                <w:b w:val="false"/>
                <w:bCs w:val="false"/>
                <w:color w:val="000000"/>
                <w:sz w:val="20"/>
                <w:szCs w:val="20"/>
              </w:rPr>
              <w:t xml:space="preserve">0,9325</w:t>
            </w:r>
          </w:p>
        </w:tc>
        <w:tc>
          <w:tcPr>
            <w:tcW w:type="dxa" w:w="1216"/>
            <w:tcMar>
              <w:top w:type="dxa" w:w="80"/>
              <w:left w:type="dxa" w:w="120"/>
              <w:bottom w:type="dxa" w:w="80"/>
              <w:right w:type="dxa" w:w="120"/>
            </w:tcMar>
          </w:tcPr>
          <w:p>
            <w:pPr>
              <w:jc w:val="center"/>
            </w:pPr>
            <w:r>
              <w:rPr>
                <w:b w:val="false"/>
                <w:bCs w:val="false"/>
                <w:color w:val="000000"/>
                <w:sz w:val="20"/>
                <w:szCs w:val="20"/>
              </w:rPr>
              <w:t xml:space="preserve">0,7693</w:t>
            </w:r>
          </w:p>
        </w:tc>
        <w:tc>
          <w:tcPr>
            <w:tcW w:type="dxa" w:w="1029"/>
            <w:tcMar>
              <w:top w:type="dxa" w:w="80"/>
              <w:left w:type="dxa" w:w="120"/>
              <w:bottom w:type="dxa" w:w="80"/>
              <w:right w:type="dxa" w:w="120"/>
            </w:tcMar>
          </w:tcPr>
          <w:p>
            <w:pPr>
              <w:jc w:val="center"/>
            </w:pPr>
            <w:r>
              <w:rPr>
                <w:b w:val="false"/>
                <w:bCs w:val="false"/>
                <w:color w:val="000000"/>
                <w:sz w:val="20"/>
                <w:szCs w:val="20"/>
              </w:rPr>
              <w:t xml:space="preserve">0,1632</w:t>
            </w:r>
          </w:p>
        </w:tc>
        <w:tc>
          <w:tcPr>
            <w:tcW w:type="dxa" w:w="1496"/>
            <w:tcMar>
              <w:top w:type="dxa" w:w="80"/>
              <w:left w:type="dxa" w:w="120"/>
              <w:bottom w:type="dxa" w:w="80"/>
              <w:right w:type="dxa" w:w="120"/>
            </w:tcMar>
          </w:tcPr>
          <w:p>
            <w:pPr>
              <w:jc w:val="center"/>
            </w:pPr>
            <w:r>
              <w:rPr>
                <w:b w:val="false"/>
                <w:bCs w:val="false"/>
                <w:color w:val="000000"/>
                <w:sz w:val="20"/>
                <w:szCs w:val="20"/>
              </w:rPr>
              <w:t xml:space="preserve">0,3129</w:t>
            </w:r>
          </w:p>
        </w:tc>
        <w:tc>
          <w:tcPr>
            <w:tcW w:type="dxa" w:w="1590"/>
            <w:tcMar>
              <w:top w:type="dxa" w:w="80"/>
              <w:left w:type="dxa" w:w="120"/>
              <w:bottom w:type="dxa" w:w="80"/>
              <w:right w:type="dxa" w:w="120"/>
            </w:tcMar>
          </w:tcPr>
          <w:p>
            <w:pPr>
              <w:jc w:val="center"/>
            </w:pPr>
            <w:r>
              <w:rPr>
                <w:b w:val="false"/>
                <w:bCs w:val="false"/>
                <w:color w:val="000000"/>
                <w:sz w:val="20"/>
                <w:szCs w:val="20"/>
              </w:rPr>
              <w:t xml:space="preserve">0,1548</w:t>
            </w:r>
          </w:p>
        </w:tc>
      </w:tr>
      <w:tr>
        <w:tc>
          <w:tcPr>
            <w:tcW w:type="dxa" w:w="2805"/>
            <w:tcMar>
              <w:top w:type="dxa" w:w="80"/>
              <w:left w:type="dxa" w:w="120"/>
              <w:bottom w:type="dxa" w:w="80"/>
              <w:right w:type="dxa" w:w="120"/>
            </w:tcMar>
          </w:tcPr>
          <w:p>
            <w:pPr>
              <w:jc w:val="left"/>
            </w:pPr>
            <w:r>
              <w:rPr>
                <w:b w:val="false"/>
                <w:bCs w:val="false"/>
                <w:color w:val="000000"/>
                <w:sz w:val="20"/>
                <w:szCs w:val="20"/>
              </w:rPr>
              <w:t xml:space="preserve">LightGBM</w:t>
            </w:r>
          </w:p>
        </w:tc>
        <w:tc>
          <w:tcPr>
            <w:tcW w:type="dxa" w:w="1216"/>
            <w:tcMar>
              <w:top w:type="dxa" w:w="80"/>
              <w:left w:type="dxa" w:w="120"/>
              <w:bottom w:type="dxa" w:w="80"/>
              <w:right w:type="dxa" w:w="120"/>
            </w:tcMar>
          </w:tcPr>
          <w:p>
            <w:pPr>
              <w:jc w:val="center"/>
            </w:pPr>
            <w:r>
              <w:rPr>
                <w:b w:val="false"/>
                <w:bCs w:val="false"/>
                <w:color w:val="000000"/>
                <w:sz w:val="20"/>
                <w:szCs w:val="20"/>
              </w:rPr>
              <w:t xml:space="preserve">0,8659</w:t>
            </w:r>
          </w:p>
        </w:tc>
        <w:tc>
          <w:tcPr>
            <w:tcW w:type="dxa" w:w="1216"/>
            <w:tcMar>
              <w:top w:type="dxa" w:w="80"/>
              <w:left w:type="dxa" w:w="120"/>
              <w:bottom w:type="dxa" w:w="80"/>
              <w:right w:type="dxa" w:w="120"/>
            </w:tcMar>
          </w:tcPr>
          <w:p>
            <w:pPr>
              <w:jc w:val="center"/>
            </w:pPr>
            <w:r>
              <w:rPr>
                <w:b w:val="false"/>
                <w:bCs w:val="false"/>
                <w:color w:val="000000"/>
                <w:sz w:val="20"/>
                <w:szCs w:val="20"/>
              </w:rPr>
              <w:t xml:space="preserve">0,7432</w:t>
            </w:r>
          </w:p>
        </w:tc>
        <w:tc>
          <w:tcPr>
            <w:tcW w:type="dxa" w:w="1029"/>
            <w:tcMar>
              <w:top w:type="dxa" w:w="80"/>
              <w:left w:type="dxa" w:w="120"/>
              <w:bottom w:type="dxa" w:w="80"/>
              <w:right w:type="dxa" w:w="120"/>
            </w:tcMar>
          </w:tcPr>
          <w:p>
            <w:pPr>
              <w:jc w:val="center"/>
            </w:pPr>
            <w:r>
              <w:rPr>
                <w:b w:val="false"/>
                <w:bCs w:val="false"/>
                <w:color w:val="000000"/>
                <w:sz w:val="20"/>
                <w:szCs w:val="20"/>
              </w:rPr>
              <w:t xml:space="preserve">0,1227</w:t>
            </w:r>
          </w:p>
        </w:tc>
        <w:tc>
          <w:tcPr>
            <w:tcW w:type="dxa" w:w="1496"/>
            <w:tcMar>
              <w:top w:type="dxa" w:w="80"/>
              <w:left w:type="dxa" w:w="120"/>
              <w:bottom w:type="dxa" w:w="80"/>
              <w:right w:type="dxa" w:w="120"/>
            </w:tcMar>
          </w:tcPr>
          <w:p>
            <w:pPr>
              <w:jc w:val="center"/>
            </w:pPr>
            <w:r>
              <w:rPr>
                <w:b w:val="false"/>
                <w:bCs w:val="false"/>
                <w:color w:val="000000"/>
                <w:sz w:val="20"/>
                <w:szCs w:val="20"/>
              </w:rPr>
              <w:t xml:space="preserve">0,2764</w:t>
            </w:r>
          </w:p>
        </w:tc>
        <w:tc>
          <w:tcPr>
            <w:tcW w:type="dxa" w:w="1590"/>
            <w:tcMar>
              <w:top w:type="dxa" w:w="80"/>
              <w:left w:type="dxa" w:w="120"/>
              <w:bottom w:type="dxa" w:w="80"/>
              <w:right w:type="dxa" w:w="120"/>
            </w:tcMar>
          </w:tcPr>
          <w:p>
            <w:pPr>
              <w:jc w:val="center"/>
            </w:pPr>
            <w:r>
              <w:rPr>
                <w:b w:val="false"/>
                <w:bCs w:val="false"/>
                <w:color w:val="000000"/>
                <w:sz w:val="20"/>
                <w:szCs w:val="20"/>
              </w:rPr>
              <w:t xml:space="preserve">0,1836</w:t>
            </w:r>
          </w:p>
        </w:tc>
      </w:tr>
      <w:tr>
        <w:tc>
          <w:tcPr>
            <w:tcW w:type="dxa" w:w="2805"/>
            <w:tcMar>
              <w:top w:type="dxa" w:w="80"/>
              <w:left w:type="dxa" w:w="120"/>
              <w:bottom w:type="dxa" w:w="80"/>
              <w:right w:type="dxa" w:w="120"/>
            </w:tcMar>
          </w:tcPr>
          <w:p>
            <w:pPr>
              <w:jc w:val="left"/>
            </w:pPr>
            <w:r>
              <w:rPr>
                <w:b w:val="false"/>
                <w:bCs w:val="false"/>
                <w:color w:val="000000"/>
                <w:sz w:val="20"/>
                <w:szCs w:val="20"/>
              </w:rPr>
              <w:t xml:space="preserve">MLP (Derin Öğrenme, Hiperparametre Aramalı)</w:t>
            </w:r>
          </w:p>
        </w:tc>
        <w:tc>
          <w:tcPr>
            <w:tcW w:type="dxa" w:w="1216"/>
            <w:tcMar>
              <w:top w:type="dxa" w:w="80"/>
              <w:left w:type="dxa" w:w="120"/>
              <w:bottom w:type="dxa" w:w="80"/>
              <w:right w:type="dxa" w:w="120"/>
            </w:tcMar>
          </w:tcPr>
          <w:p>
            <w:pPr>
              <w:jc w:val="center"/>
            </w:pPr>
            <w:r>
              <w:rPr>
                <w:b w:val="false"/>
                <w:bCs w:val="false"/>
                <w:color w:val="000000"/>
                <w:sz w:val="20"/>
                <w:szCs w:val="20"/>
              </w:rPr>
              <w:t xml:space="preserve">0,9807</w:t>
            </w:r>
          </w:p>
        </w:tc>
        <w:tc>
          <w:tcPr>
            <w:tcW w:type="dxa" w:w="1216"/>
            <w:tcMar>
              <w:top w:type="dxa" w:w="80"/>
              <w:left w:type="dxa" w:w="120"/>
              <w:bottom w:type="dxa" w:w="80"/>
              <w:right w:type="dxa" w:w="120"/>
            </w:tcMar>
          </w:tcPr>
          <w:p>
            <w:pPr>
              <w:jc w:val="center"/>
            </w:pPr>
            <w:r>
              <w:rPr>
                <w:b w:val="false"/>
                <w:bCs w:val="false"/>
                <w:color w:val="000000"/>
                <w:sz w:val="20"/>
                <w:szCs w:val="20"/>
              </w:rPr>
              <w:t xml:space="preserve">0,6743</w:t>
            </w:r>
          </w:p>
        </w:tc>
        <w:tc>
          <w:tcPr>
            <w:tcW w:type="dxa" w:w="1029"/>
            <w:tcMar>
              <w:top w:type="dxa" w:w="80"/>
              <w:left w:type="dxa" w:w="120"/>
              <w:bottom w:type="dxa" w:w="80"/>
              <w:right w:type="dxa" w:w="120"/>
            </w:tcMar>
          </w:tcPr>
          <w:p>
            <w:pPr>
              <w:jc w:val="center"/>
            </w:pPr>
            <w:r>
              <w:rPr>
                <w:b w:val="false"/>
                <w:bCs w:val="false"/>
                <w:color w:val="000000"/>
                <w:sz w:val="20"/>
                <w:szCs w:val="20"/>
              </w:rPr>
              <w:t xml:space="preserve">0,3064</w:t>
            </w:r>
          </w:p>
        </w:tc>
        <w:tc>
          <w:tcPr>
            <w:tcW w:type="dxa" w:w="1496"/>
            <w:tcMar>
              <w:top w:type="dxa" w:w="80"/>
              <w:left w:type="dxa" w:w="120"/>
              <w:bottom w:type="dxa" w:w="80"/>
              <w:right w:type="dxa" w:w="120"/>
            </w:tcMar>
          </w:tcPr>
          <w:p>
            <w:pPr>
              <w:jc w:val="center"/>
            </w:pPr>
            <w:r>
              <w:rPr>
                <w:b w:val="false"/>
                <w:bCs w:val="false"/>
                <w:color w:val="000000"/>
                <w:sz w:val="20"/>
                <w:szCs w:val="20"/>
              </w:rPr>
              <w:t xml:space="preserve">0,1890</w:t>
            </w:r>
          </w:p>
        </w:tc>
        <w:tc>
          <w:tcPr>
            <w:tcW w:type="dxa" w:w="1590"/>
            <w:tcMar>
              <w:top w:type="dxa" w:w="80"/>
              <w:left w:type="dxa" w:w="120"/>
              <w:bottom w:type="dxa" w:w="80"/>
              <w:right w:type="dxa" w:w="120"/>
            </w:tcMar>
          </w:tcPr>
          <w:p>
            <w:pPr>
              <w:jc w:val="center"/>
            </w:pPr>
            <w:r>
              <w:rPr>
                <w:b w:val="false"/>
                <w:bCs w:val="false"/>
                <w:color w:val="000000"/>
                <w:sz w:val="20"/>
                <w:szCs w:val="20"/>
              </w:rPr>
              <w:t xml:space="preserve">0,1353</w:t>
            </w:r>
          </w:p>
        </w:tc>
      </w:tr>
      <w:tr>
        <w:tc>
          <w:tcPr>
            <w:tcW w:type="dxa" w:w="2805"/>
            <w:tcMar>
              <w:top w:type="dxa" w:w="80"/>
              <w:left w:type="dxa" w:w="120"/>
              <w:bottom w:type="dxa" w:w="80"/>
              <w:right w:type="dxa" w:w="120"/>
            </w:tcMar>
          </w:tcPr>
          <w:p>
            <w:pPr>
              <w:jc w:val="left"/>
            </w:pPr>
            <w:r>
              <w:rPr>
                <w:b w:val="false"/>
                <w:bCs w:val="false"/>
                <w:color w:val="000000"/>
                <w:sz w:val="20"/>
                <w:szCs w:val="20"/>
              </w:rPr>
              <w:t xml:space="preserve">Decision Tree</w:t>
            </w:r>
          </w:p>
        </w:tc>
        <w:tc>
          <w:tcPr>
            <w:tcW w:type="dxa" w:w="1216"/>
            <w:tcMar>
              <w:top w:type="dxa" w:w="80"/>
              <w:left w:type="dxa" w:w="120"/>
              <w:bottom w:type="dxa" w:w="80"/>
              <w:right w:type="dxa" w:w="120"/>
            </w:tcMar>
          </w:tcPr>
          <w:p>
            <w:pPr>
              <w:jc w:val="center"/>
            </w:pPr>
            <w:r>
              <w:rPr>
                <w:b w:val="false"/>
                <w:bCs w:val="false"/>
                <w:color w:val="000000"/>
                <w:sz w:val="20"/>
                <w:szCs w:val="20"/>
              </w:rPr>
              <w:t xml:space="preserve">0,9996</w:t>
            </w:r>
          </w:p>
        </w:tc>
        <w:tc>
          <w:tcPr>
            <w:tcW w:type="dxa" w:w="1216"/>
            <w:tcMar>
              <w:top w:type="dxa" w:w="80"/>
              <w:left w:type="dxa" w:w="120"/>
              <w:bottom w:type="dxa" w:w="80"/>
              <w:right w:type="dxa" w:w="120"/>
            </w:tcMar>
          </w:tcPr>
          <w:p>
            <w:pPr>
              <w:jc w:val="center"/>
            </w:pPr>
            <w:r>
              <w:rPr>
                <w:b w:val="false"/>
                <w:bCs w:val="false"/>
                <w:color w:val="000000"/>
                <w:sz w:val="20"/>
                <w:szCs w:val="20"/>
              </w:rPr>
              <w:t xml:space="preserve">0,6449</w:t>
            </w:r>
          </w:p>
        </w:tc>
        <w:tc>
          <w:tcPr>
            <w:tcW w:type="dxa" w:w="1029"/>
            <w:tcMar>
              <w:top w:type="dxa" w:w="80"/>
              <w:left w:type="dxa" w:w="120"/>
              <w:bottom w:type="dxa" w:w="80"/>
              <w:right w:type="dxa" w:w="120"/>
            </w:tcMar>
          </w:tcPr>
          <w:p>
            <w:pPr>
              <w:jc w:val="center"/>
            </w:pPr>
            <w:r>
              <w:rPr>
                <w:b w:val="false"/>
                <w:bCs w:val="false"/>
                <w:color w:val="000000"/>
                <w:sz w:val="20"/>
                <w:szCs w:val="20"/>
              </w:rPr>
              <w:t xml:space="preserve">0,3547</w:t>
            </w:r>
          </w:p>
        </w:tc>
        <w:tc>
          <w:tcPr>
            <w:tcW w:type="dxa" w:w="1496"/>
            <w:tcMar>
              <w:top w:type="dxa" w:w="80"/>
              <w:left w:type="dxa" w:w="120"/>
              <w:bottom w:type="dxa" w:w="80"/>
              <w:right w:type="dxa" w:w="120"/>
            </w:tcMar>
          </w:tcPr>
          <w:p>
            <w:pPr>
              <w:jc w:val="center"/>
            </w:pPr>
            <w:r>
              <w:rPr>
                <w:b w:val="false"/>
                <w:bCs w:val="false"/>
                <w:color w:val="000000"/>
                <w:sz w:val="20"/>
                <w:szCs w:val="20"/>
              </w:rPr>
              <w:t xml:space="preserve">0,1905</w:t>
            </w:r>
          </w:p>
        </w:tc>
        <w:tc>
          <w:tcPr>
            <w:tcW w:type="dxa" w:w="1590"/>
            <w:tcMar>
              <w:top w:type="dxa" w:w="80"/>
              <w:left w:type="dxa" w:w="120"/>
              <w:bottom w:type="dxa" w:w="80"/>
              <w:right w:type="dxa" w:w="120"/>
            </w:tcMar>
          </w:tcPr>
          <w:p>
            <w:pPr>
              <w:jc w:val="center"/>
            </w:pPr>
            <w:r>
              <w:rPr>
                <w:b w:val="false"/>
                <w:bCs w:val="false"/>
                <w:color w:val="000000"/>
                <w:sz w:val="20"/>
                <w:szCs w:val="20"/>
              </w:rPr>
              <w:t xml:space="preserve">0,1340</w:t>
            </w:r>
          </w:p>
        </w:tc>
      </w:tr>
      <w:tr>
        <w:tc>
          <w:tcPr>
            <w:tcW w:type="dxa" w:w="2805"/>
            <w:tcMar>
              <w:top w:type="dxa" w:w="80"/>
              <w:left w:type="dxa" w:w="120"/>
              <w:bottom w:type="dxa" w:w="80"/>
              <w:right w:type="dxa" w:w="120"/>
            </w:tcMar>
          </w:tcPr>
          <w:p>
            <w:pPr>
              <w:jc w:val="left"/>
            </w:pPr>
            <w:r>
              <w:rPr>
                <w:b w:val="false"/>
                <w:bCs w:val="false"/>
                <w:color w:val="000000"/>
                <w:sz w:val="20"/>
                <w:szCs w:val="20"/>
              </w:rPr>
              <w:t xml:space="preserve">Logistic Regression</w:t>
            </w:r>
          </w:p>
        </w:tc>
        <w:tc>
          <w:tcPr>
            <w:tcW w:type="dxa" w:w="1216"/>
            <w:tcMar>
              <w:top w:type="dxa" w:w="80"/>
              <w:left w:type="dxa" w:w="120"/>
              <w:bottom w:type="dxa" w:w="80"/>
              <w:right w:type="dxa" w:w="120"/>
            </w:tcMar>
          </w:tcPr>
          <w:p>
            <w:pPr>
              <w:jc w:val="center"/>
            </w:pPr>
            <w:r>
              <w:rPr>
                <w:b w:val="false"/>
                <w:bCs w:val="false"/>
                <w:color w:val="000000"/>
                <w:sz w:val="20"/>
                <w:szCs w:val="20"/>
              </w:rPr>
              <w:t xml:space="preserve">0,6386</w:t>
            </w:r>
          </w:p>
        </w:tc>
        <w:tc>
          <w:tcPr>
            <w:tcW w:type="dxa" w:w="1216"/>
            <w:tcMar>
              <w:top w:type="dxa" w:w="80"/>
              <w:left w:type="dxa" w:w="120"/>
              <w:bottom w:type="dxa" w:w="80"/>
              <w:right w:type="dxa" w:w="120"/>
            </w:tcMar>
          </w:tcPr>
          <w:p>
            <w:pPr>
              <w:jc w:val="center"/>
            </w:pPr>
            <w:r>
              <w:rPr>
                <w:b w:val="false"/>
                <w:bCs w:val="false"/>
                <w:color w:val="000000"/>
                <w:sz w:val="20"/>
                <w:szCs w:val="20"/>
              </w:rPr>
              <w:t xml:space="preserve">0,6281</w:t>
            </w:r>
          </w:p>
        </w:tc>
        <w:tc>
          <w:tcPr>
            <w:tcW w:type="dxa" w:w="1029"/>
            <w:tcMar>
              <w:top w:type="dxa" w:w="80"/>
              <w:left w:type="dxa" w:w="120"/>
              <w:bottom w:type="dxa" w:w="80"/>
              <w:right w:type="dxa" w:w="120"/>
            </w:tcMar>
          </w:tcPr>
          <w:p>
            <w:pPr>
              <w:jc w:val="center"/>
            </w:pPr>
            <w:r>
              <w:rPr>
                <w:b w:val="false"/>
                <w:bCs w:val="false"/>
                <w:color w:val="000000"/>
                <w:sz w:val="20"/>
                <w:szCs w:val="20"/>
              </w:rPr>
              <w:t xml:space="preserve">0,0105</w:t>
            </w:r>
          </w:p>
        </w:tc>
        <w:tc>
          <w:tcPr>
            <w:tcW w:type="dxa" w:w="1496"/>
            <w:tcMar>
              <w:top w:type="dxa" w:w="80"/>
              <w:left w:type="dxa" w:w="120"/>
              <w:bottom w:type="dxa" w:w="80"/>
              <w:right w:type="dxa" w:w="120"/>
            </w:tcMar>
          </w:tcPr>
          <w:p>
            <w:pPr>
              <w:jc w:val="center"/>
            </w:pPr>
            <w:r>
              <w:rPr>
                <w:b w:val="false"/>
                <w:bCs w:val="false"/>
                <w:color w:val="000000"/>
                <w:sz w:val="20"/>
                <w:szCs w:val="20"/>
              </w:rPr>
              <w:t xml:space="preserve">0,1525</w:t>
            </w:r>
          </w:p>
        </w:tc>
        <w:tc>
          <w:tcPr>
            <w:tcW w:type="dxa" w:w="1590"/>
            <w:tcMar>
              <w:top w:type="dxa" w:w="80"/>
              <w:left w:type="dxa" w:w="120"/>
              <w:bottom w:type="dxa" w:w="80"/>
              <w:right w:type="dxa" w:w="120"/>
            </w:tcMar>
          </w:tcPr>
          <w:p>
            <w:pPr>
              <w:jc w:val="center"/>
            </w:pPr>
            <w:r>
              <w:rPr>
                <w:b w:val="false"/>
                <w:bCs w:val="false"/>
                <w:color w:val="000000"/>
                <w:sz w:val="20"/>
                <w:szCs w:val="20"/>
              </w:rPr>
              <w:t xml:space="preserve">0,2365</w:t>
            </w:r>
          </w:p>
        </w:tc>
      </w:tr>
    </w:tbl>
    <w:p>
      <w:pPr>
        <w:spacing w:after="150"/>
      </w:pPr>
      <w:r>
        <w:rPr>
          <w:b w:val="false"/>
          <w:bCs w:val="false"/>
          <w:i w:val="false"/>
          <w:iCs w:val="false"/>
        </w:rPr>
        <w:t xml:space="preserve">Tüm modellerin Train-Test farkının nicel olarak raporlanması, “ezber yalnızca Random Forest'ta mı var” sorusuna doğrudan yanıt vermektedir: fark, tüm yüksek kapasiteli modellerde mevcuttur ve optimize Random Forest'ınki (Δ=0,1802) en kötü örnekler olan Decision Tree (Δ=0,3547) ve MLP'den (Δ=0,3064) belirgin şekilde düşük, XGBoost'unkiyle (Δ=0,1820) neredeyse özdeştir. Doğrusal olmayan tüm modellerde bir miktar train-test farkının bulunması, bu veri setinin doğasında olan bir örüntüdür; sadece regularize RF'ye özgü bir kusur değildir.</w:t>
      </w:r>
    </w:p>
    <w:p>
      <w:pPr>
        <w:spacing w:after="150"/>
      </w:pPr>
      <w:r>
        <w:rPr>
          <w:b w:val="false"/>
          <w:bCs w:val="false"/>
          <w:i/>
          <w:iCs/>
        </w:rPr>
        <w:t xml:space="preserve">Yüksek Train ROC-AUC skorunun (0,9955) gerçekten “ezber” mi yoksa bagging mimarisinin yapısal bir özelliği mi olduğunu ayırt etmek için Out-of-Bag (OOB) skoru hesaplanmıştır — her ağacın kendi bootstrap örnekleminde GÖRMEDİĞİ veri üzerindeki performansını ölçen, Random Forest'a özgü yansız bir genelleme tahminidir. Sonuç: OOB ROC-AUC = 0,8024, yani Train skoruna (0,9955) değil, saklı dış test skoruna (0,8153) çok yakındır. Bu, modelin gerçekte iyi genellediğinin doğrudan kanıtıdır; yüksek Train skoru, her ağacın kendi in-bag örneklemine yakından uymasından kaynaklanan, bagging ensemble'larda beklenen yapısal bir özelliktir ve başlı başına zayıf genelleme anlamına gelmez. Buna göre, regularizasyonun (max_features=0,4, max_depth=25) asıl ve ölçülebilir kazanımı Train skorunu düşürmek değil, dış test/OOB performansını (0,7934→0,8153 / 0,8024) yükseltmek olmuştur.</w:t>
      </w:r>
    </w:p>
    <w:p>
      <w:pPr>
        <w:spacing w:after="150"/>
      </w:pPr>
      <w:r>
        <w:rPr>
          <w:b w:val="false"/>
          <w:bCs w:val="false"/>
          <w:i w:val="false"/>
          <w:iCs w:val="false"/>
        </w:rPr>
        <w:t xml:space="preserve">PR-AUC'un anlamlılığını değerlendirmek için naif taban çizgisi hesaplanmıştır: dış test setindeki pozitif sınıf (no-show) oranı %9,99'dur; rastgele bir sınıflandırıcının PR-AUC'u bu orana eşittir (0,0999). Optimize modelin ulaştığı 0,4076 PR-AUC skoru, rastgele atamaya kıyasla yaklaşık 4,08 kat ampirik bir duyarlılık artışını temsil etmektedir.</w:t>
      </w:r>
    </w:p>
    <w:p>
      <w:pPr>
        <w:spacing w:after="150"/>
      </w:pPr>
      <w:r>
        <w:rPr>
          <w:b w:val="false"/>
          <w:bCs w:val="false"/>
          <w:i w:val="false"/>
          <w:iCs w:val="false"/>
        </w:rPr>
        <w:t xml:space="preserve">MLP modeli için tek bir sabit mimari yerine, sadece eğitim seti + 3 katlı CV ile mimari (32–128 nöron, 1–3 katman), L2 regularizasyon katsayısı (α) ve öğrenme oranı üzerinde sızıntısız bir hiperparametre araması yürütülmüştür. En iyi konfigürasyon (2 katman, 128–64 nöron) dış test performansını yükseltmiş (ROC-AUC 0,6475→0,6743) ancak yine de tüm ağaç tabanlı yöntemlerin belirgin biçimde gerisinde kalmıştır — bu, “derin öğrenme adil koşullarda denenmedi” eleştirisine karşı savunmayı güçlendirmektedir.</w:t>
      </w:r>
    </w:p>
    <w:p>
      <w:pPr>
        <w:spacing w:after="150"/>
      </w:pPr>
      <w:r>
        <w:rPr>
          <w:b w:val="false"/>
          <w:bCs w:val="false"/>
          <w:i w:val="false"/>
          <w:iCs w:val="false"/>
        </w:rPr>
        <w:t xml:space="preserve">Şampiyon modelin dış test metriklerinin tekil bir örnekleme bağlı olmadığını göstermek için, dış test seti üzerinde 2.000 tekrarlı bootstrap ile %95 güven aralıkları hesaplanmıştır: ROC-AUC = 0,8153 (%95 GA: 0,8011–0,8301), PR-AUC = 0,4076 (%95 GA: 0,3773–0,4397), Brier = 0,0738 (%95 GA: 0,0699–0,0776). Dar aralıklar, sonuçların örnekleme rastlantısına bağlı olmadığını doğrulamaktadır.</w:t>
      </w:r>
    </w:p>
    <w:p>
      <w:pPr>
        <w:spacing w:after="150"/>
      </w:pPr>
      <w:r>
        <w:rPr>
          <w:b w:val="false"/>
          <w:bCs w:val="false"/>
          <w:i w:val="false"/>
          <w:iCs w:val="false"/>
        </w:rPr>
        <w:t xml:space="preserve">Optimize edilmiş Random Forest, hem eğitim-test farkını daraltarak (daha genellenebilir bir model üreterek) hem de mutlak dış test performansını yükselterek (ROC-AUC +0,0219, PR-AUC +0,0601, Brier −0,0035) çift yönlü bir iyileştirme sağlamıştır. Derin öğrenme (MLP) modeli, tüm ağaç tabanlı yöntemlerin gerisinde kalmıştır; bu, veri setinin boyutu ve öznitelik yapısı göz önüne alındığında ağaç tabanlı toplulaştırma yöntemlerinin (ensemble) tercih edilmesini ampirik olarak desteklemektedir.</w:t>
      </w:r>
    </w:p>
    <w:p>
      <w:pPr>
        <w:pStyle w:val="Heading2"/>
        <w:spacing w:after="150" w:before="300"/>
      </w:pPr>
      <w:r>
        <w:t xml:space="preserve">4. Kesikli Olay Simülasyonu (DES) ile Saha Doğrulaması</w:t>
      </w:r>
    </w:p>
    <w:p>
      <w:pPr>
        <w:spacing w:after="150"/>
      </w:pPr>
      <w:r>
        <w:rPr>
          <w:b w:val="false"/>
          <w:bCs w:val="false"/>
          <w:i w:val="false"/>
          <w:iCs w:val="false"/>
        </w:rPr>
        <w:t xml:space="preserve">Ön raporda öngörülen “%20–40 bekleme süresi iyileşmesi” iddiası, doğrudan bir dış test AUC/PR-AUC skoruyla kanıtlanamayacağı için, Python SimPy kütüphanesiyle Kesikli Olay Simülasyonu (DES) çalıştırılmıştır. İlk denemede (N=300 klinik günü) Politika B (Akıllı Hibrit) lehine görünen iyileşmelerin gün-gün varyansa kıyasla istatistiksel gücünü test etmek amacıyla, eşleştirilmiş (paired) t-testi uygulanmış; etki büyüklüğünün (Cohen's d≈0,06) çok küçük olduğu ve %80 güçle p&lt;0,05 elde etmek için en az ~2.209 simüle gün gerektiği hesaplanmıştır. Bu nedenle simülasyon N=2.500 klinik günü ile tekrarlanmış ve sonuçlar eşleştirilmiş t-testi ile doğrulanmıştır: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1403"/>
        <w:gridCol w:w="1403"/>
        <w:gridCol w:w="1870"/>
        <w:gridCol w:w="1122"/>
        <w:gridCol w:w="1683"/>
      </w:tblGrid>
      <w:tr>
        <w:trPr>
          <w:tblHeader/>
        </w:trPr>
        <w:tc>
          <w:tcPr>
            <w:tcW w:type="dxa" w:w="2805"/>
            <w:shd w:fill="2F5496" w:val="clear"/>
            <w:tcMar>
              <w:top w:type="dxa" w:w="80"/>
              <w:left w:type="dxa" w:w="120"/>
              <w:bottom w:type="dxa" w:w="80"/>
              <w:right w:type="dxa" w:w="120"/>
            </w:tcMar>
          </w:tcPr>
          <w:p>
            <w:pPr>
              <w:jc w:val="center"/>
            </w:pPr>
            <w:r>
              <w:rPr>
                <w:b/>
                <w:bCs/>
                <w:color w:val="FFFFFF"/>
                <w:sz w:val="20"/>
                <w:szCs w:val="20"/>
              </w:rPr>
              <w:t xml:space="preserve">Metrik</w:t>
            </w:r>
          </w:p>
        </w:tc>
        <w:tc>
          <w:tcPr>
            <w:tcW w:type="dxa" w:w="1403"/>
            <w:shd w:fill="2F5496" w:val="clear"/>
            <w:tcMar>
              <w:top w:type="dxa" w:w="80"/>
              <w:left w:type="dxa" w:w="120"/>
              <w:bottom w:type="dxa" w:w="80"/>
              <w:right w:type="dxa" w:w="120"/>
            </w:tcMar>
          </w:tcPr>
          <w:p>
            <w:pPr>
              <w:jc w:val="center"/>
            </w:pPr>
            <w:r>
              <w:rPr>
                <w:b/>
                <w:bCs/>
                <w:color w:val="FFFFFF"/>
                <w:sz w:val="20"/>
                <w:szCs w:val="20"/>
              </w:rPr>
              <w:t xml:space="preserve">Statik (A)</w:t>
            </w:r>
          </w:p>
        </w:tc>
        <w:tc>
          <w:tcPr>
            <w:tcW w:type="dxa" w:w="1403"/>
            <w:shd w:fill="2F5496" w:val="clear"/>
            <w:tcMar>
              <w:top w:type="dxa" w:w="80"/>
              <w:left w:type="dxa" w:w="120"/>
              <w:bottom w:type="dxa" w:w="80"/>
              <w:right w:type="dxa" w:w="120"/>
            </w:tcMar>
          </w:tcPr>
          <w:p>
            <w:pPr>
              <w:jc w:val="center"/>
            </w:pPr>
            <w:r>
              <w:rPr>
                <w:b/>
                <w:bCs/>
                <w:color w:val="FFFFFF"/>
                <w:sz w:val="20"/>
                <w:szCs w:val="20"/>
              </w:rPr>
              <w:t xml:space="preserve">Hibrit (B)</w:t>
            </w:r>
          </w:p>
        </w:tc>
        <w:tc>
          <w:tcPr>
            <w:tcW w:type="dxa" w:w="1870"/>
            <w:shd w:fill="2F5496" w:val="clear"/>
            <w:tcMar>
              <w:top w:type="dxa" w:w="80"/>
              <w:left w:type="dxa" w:w="120"/>
              <w:bottom w:type="dxa" w:w="80"/>
              <w:right w:type="dxa" w:w="120"/>
            </w:tcMar>
          </w:tcPr>
          <w:p>
            <w:pPr>
              <w:jc w:val="center"/>
            </w:pPr>
            <w:r>
              <w:rPr>
                <w:b/>
                <w:bCs/>
                <w:color w:val="FFFFFF"/>
                <w:sz w:val="20"/>
                <w:szCs w:val="20"/>
              </w:rPr>
              <w:t xml:space="preserve">Fark (%95 GA)</w:t>
            </w:r>
          </w:p>
        </w:tc>
        <w:tc>
          <w:tcPr>
            <w:tcW w:type="dxa" w:w="1122"/>
            <w:shd w:fill="2F5496" w:val="clear"/>
            <w:tcMar>
              <w:top w:type="dxa" w:w="80"/>
              <w:left w:type="dxa" w:w="120"/>
              <w:bottom w:type="dxa" w:w="80"/>
              <w:right w:type="dxa" w:w="120"/>
            </w:tcMar>
          </w:tcPr>
          <w:p>
            <w:pPr>
              <w:jc w:val="center"/>
            </w:pPr>
            <w:r>
              <w:rPr>
                <w:b/>
                <w:bCs/>
                <w:color w:val="FFFFFF"/>
                <w:sz w:val="20"/>
                <w:szCs w:val="20"/>
              </w:rPr>
              <w:t xml:space="preserve">p-değeri</w:t>
            </w:r>
          </w:p>
        </w:tc>
        <w:tc>
          <w:tcPr>
            <w:tcW w:type="dxa" w:w="1683"/>
            <w:shd w:fill="2F5496" w:val="clear"/>
            <w:tcMar>
              <w:top w:type="dxa" w:w="80"/>
              <w:left w:type="dxa" w:w="120"/>
              <w:bottom w:type="dxa" w:w="80"/>
              <w:right w:type="dxa" w:w="120"/>
            </w:tcMar>
          </w:tcPr>
          <w:p>
            <w:pPr>
              <w:jc w:val="center"/>
            </w:pPr>
            <w:r>
              <w:rPr>
                <w:b/>
                <w:bCs/>
                <w:color w:val="FFFFFF"/>
                <w:sz w:val="20"/>
                <w:szCs w:val="20"/>
              </w:rPr>
              <w:t xml:space="preserve">Anlamlı mı?</w:t>
            </w:r>
          </w:p>
        </w:tc>
      </w:tr>
      <w:tr>
        <w:tc>
          <w:tcPr>
            <w:tcW w:type="dxa" w:w="2805"/>
            <w:tcMar>
              <w:top w:type="dxa" w:w="80"/>
              <w:left w:type="dxa" w:w="120"/>
              <w:bottom w:type="dxa" w:w="80"/>
              <w:right w:type="dxa" w:w="120"/>
            </w:tcMar>
          </w:tcPr>
          <w:p>
            <w:pPr>
              <w:jc w:val="left"/>
            </w:pPr>
            <w:r>
              <w:rPr>
                <w:b w:val="false"/>
                <w:bCs w:val="false"/>
                <w:color w:val="000000"/>
                <w:sz w:val="20"/>
                <w:szCs w:val="20"/>
              </w:rPr>
              <w:t xml:space="preserve">Ort. Hasta Bekleme Süresi (dk)</w:t>
            </w:r>
          </w:p>
        </w:tc>
        <w:tc>
          <w:tcPr>
            <w:tcW w:type="dxa" w:w="1403"/>
            <w:tcMar>
              <w:top w:type="dxa" w:w="80"/>
              <w:left w:type="dxa" w:w="120"/>
              <w:bottom w:type="dxa" w:w="80"/>
              <w:right w:type="dxa" w:w="120"/>
            </w:tcMar>
          </w:tcPr>
          <w:p>
            <w:pPr>
              <w:jc w:val="center"/>
            </w:pPr>
            <w:r>
              <w:rPr>
                <w:b w:val="false"/>
                <w:bCs w:val="false"/>
                <w:color w:val="000000"/>
                <w:sz w:val="20"/>
                <w:szCs w:val="20"/>
              </w:rPr>
              <w:t xml:space="preserve">9,37</w:t>
            </w:r>
          </w:p>
        </w:tc>
        <w:tc>
          <w:tcPr>
            <w:tcW w:type="dxa" w:w="1403"/>
            <w:tcMar>
              <w:top w:type="dxa" w:w="80"/>
              <w:left w:type="dxa" w:w="120"/>
              <w:bottom w:type="dxa" w:w="80"/>
              <w:right w:type="dxa" w:w="120"/>
            </w:tcMar>
          </w:tcPr>
          <w:p>
            <w:pPr>
              <w:jc w:val="center"/>
            </w:pPr>
            <w:r>
              <w:rPr>
                <w:b w:val="false"/>
                <w:bCs w:val="false"/>
                <w:color w:val="000000"/>
                <w:sz w:val="20"/>
                <w:szCs w:val="20"/>
              </w:rPr>
              <w:t xml:space="preserve">9,79</w:t>
            </w:r>
          </w:p>
        </w:tc>
        <w:tc>
          <w:tcPr>
            <w:tcW w:type="dxa" w:w="1870"/>
            <w:tcMar>
              <w:top w:type="dxa" w:w="80"/>
              <w:left w:type="dxa" w:w="120"/>
              <w:bottom w:type="dxa" w:w="80"/>
              <w:right w:type="dxa" w:w="120"/>
            </w:tcMar>
          </w:tcPr>
          <w:p>
            <w:pPr>
              <w:jc w:val="center"/>
            </w:pPr>
            <w:r>
              <w:rPr>
                <w:b w:val="false"/>
                <w:bCs w:val="false"/>
                <w:color w:val="000000"/>
                <w:sz w:val="20"/>
                <w:szCs w:val="20"/>
              </w:rPr>
              <w:t xml:space="preserve">+0,42 (−0,19, +1,02)</w:t>
            </w:r>
          </w:p>
        </w:tc>
        <w:tc>
          <w:tcPr>
            <w:tcW w:type="dxa" w:w="1122"/>
            <w:tcMar>
              <w:top w:type="dxa" w:w="80"/>
              <w:left w:type="dxa" w:w="120"/>
              <w:bottom w:type="dxa" w:w="80"/>
              <w:right w:type="dxa" w:w="120"/>
            </w:tcMar>
          </w:tcPr>
          <w:p>
            <w:pPr>
              <w:jc w:val="center"/>
            </w:pPr>
            <w:r>
              <w:rPr>
                <w:b w:val="false"/>
                <w:bCs w:val="false"/>
                <w:color w:val="000000"/>
                <w:sz w:val="20"/>
                <w:szCs w:val="20"/>
              </w:rPr>
              <w:t xml:space="preserve">0,181</w:t>
            </w:r>
          </w:p>
        </w:tc>
        <w:tc>
          <w:tcPr>
            <w:tcW w:type="dxa" w:w="1683"/>
            <w:tcMar>
              <w:top w:type="dxa" w:w="80"/>
              <w:left w:type="dxa" w:w="120"/>
              <w:bottom w:type="dxa" w:w="80"/>
              <w:right w:type="dxa" w:w="120"/>
            </w:tcMar>
          </w:tcPr>
          <w:p>
            <w:pPr>
              <w:jc w:val="center"/>
            </w:pPr>
            <w:r>
              <w:rPr>
                <w:b w:val="false"/>
                <w:bCs w:val="false"/>
                <w:color w:val="000000"/>
                <w:sz w:val="20"/>
                <w:szCs w:val="20"/>
              </w:rPr>
              <w:t xml:space="preserve">Hayır</w:t>
            </w:r>
          </w:p>
        </w:tc>
      </w:tr>
      <w:tr>
        <w:tc>
          <w:tcPr>
            <w:tcW w:type="dxa" w:w="2805"/>
            <w:tcMar>
              <w:top w:type="dxa" w:w="80"/>
              <w:left w:type="dxa" w:w="120"/>
              <w:bottom w:type="dxa" w:w="80"/>
              <w:right w:type="dxa" w:w="120"/>
            </w:tcMar>
          </w:tcPr>
          <w:p>
            <w:pPr>
              <w:jc w:val="left"/>
            </w:pPr>
            <w:r>
              <w:rPr>
                <w:b w:val="false"/>
                <w:bCs w:val="false"/>
                <w:color w:val="000000"/>
                <w:sz w:val="20"/>
                <w:szCs w:val="20"/>
              </w:rPr>
              <w:t xml:space="preserve">Hekim Atıl Süresi (dk/gün)</w:t>
            </w:r>
          </w:p>
        </w:tc>
        <w:tc>
          <w:tcPr>
            <w:tcW w:type="dxa" w:w="1403"/>
            <w:tcMar>
              <w:top w:type="dxa" w:w="80"/>
              <w:left w:type="dxa" w:w="120"/>
              <w:bottom w:type="dxa" w:w="80"/>
              <w:right w:type="dxa" w:w="120"/>
            </w:tcMar>
          </w:tcPr>
          <w:p>
            <w:pPr>
              <w:jc w:val="center"/>
            </w:pPr>
            <w:r>
              <w:rPr>
                <w:b w:val="false"/>
                <w:bCs w:val="false"/>
                <w:color w:val="000000"/>
                <w:sz w:val="20"/>
                <w:szCs w:val="20"/>
              </w:rPr>
              <w:t xml:space="preserve">31,61</w:t>
            </w:r>
          </w:p>
        </w:tc>
        <w:tc>
          <w:tcPr>
            <w:tcW w:type="dxa" w:w="1403"/>
            <w:tcMar>
              <w:top w:type="dxa" w:w="80"/>
              <w:left w:type="dxa" w:w="120"/>
              <w:bottom w:type="dxa" w:w="80"/>
              <w:right w:type="dxa" w:w="120"/>
            </w:tcMar>
          </w:tcPr>
          <w:p>
            <w:pPr>
              <w:jc w:val="center"/>
            </w:pPr>
            <w:r>
              <w:rPr>
                <w:b w:val="false"/>
                <w:bCs w:val="false"/>
                <w:color w:val="000000"/>
                <w:sz w:val="20"/>
                <w:szCs w:val="20"/>
              </w:rPr>
              <w:t xml:space="preserve">0,00</w:t>
            </w:r>
          </w:p>
        </w:tc>
        <w:tc>
          <w:tcPr>
            <w:tcW w:type="dxa" w:w="1870"/>
            <w:tcMar>
              <w:top w:type="dxa" w:w="80"/>
              <w:left w:type="dxa" w:w="120"/>
              <w:bottom w:type="dxa" w:w="80"/>
              <w:right w:type="dxa" w:w="120"/>
            </w:tcMar>
          </w:tcPr>
          <w:p>
            <w:pPr>
              <w:jc w:val="center"/>
            </w:pPr>
            <w:r>
              <w:rPr>
                <w:b w:val="false"/>
                <w:bCs w:val="false"/>
                <w:color w:val="000000"/>
                <w:sz w:val="20"/>
                <w:szCs w:val="20"/>
              </w:rPr>
              <w:t xml:space="preserve">−31,61 (−32,41, −30,81)</w:t>
            </w:r>
          </w:p>
        </w:tc>
        <w:tc>
          <w:tcPr>
            <w:tcW w:type="dxa" w:w="1122"/>
            <w:tcMar>
              <w:top w:type="dxa" w:w="80"/>
              <w:left w:type="dxa" w:w="120"/>
              <w:bottom w:type="dxa" w:w="80"/>
              <w:right w:type="dxa" w:w="120"/>
            </w:tcMar>
          </w:tcPr>
          <w:p>
            <w:pPr>
              <w:jc w:val="center"/>
            </w:pPr>
            <w:r>
              <w:rPr>
                <w:b w:val="false"/>
                <w:bCs w:val="false"/>
                <w:color w:val="000000"/>
                <w:sz w:val="20"/>
                <w:szCs w:val="20"/>
              </w:rPr>
              <w:t xml:space="preserve">&lt;0,000001</w:t>
            </w:r>
          </w:p>
        </w:tc>
        <w:tc>
          <w:tcPr>
            <w:tcW w:type="dxa" w:w="1683"/>
            <w:tcMar>
              <w:top w:type="dxa" w:w="80"/>
              <w:left w:type="dxa" w:w="120"/>
              <w:bottom w:type="dxa" w:w="80"/>
              <w:right w:type="dxa" w:w="120"/>
            </w:tcMar>
          </w:tcPr>
          <w:p>
            <w:pPr>
              <w:jc w:val="center"/>
            </w:pPr>
            <w:r>
              <w:rPr>
                <w:b w:val="false"/>
                <w:bCs w:val="false"/>
                <w:color w:val="000000"/>
                <w:sz w:val="20"/>
                <w:szCs w:val="20"/>
              </w:rPr>
              <w:t xml:space="preserve">Evet</w:t>
            </w:r>
          </w:p>
        </w:tc>
      </w:tr>
      <w:tr>
        <w:tc>
          <w:tcPr>
            <w:tcW w:type="dxa" w:w="2805"/>
            <w:tcMar>
              <w:top w:type="dxa" w:w="80"/>
              <w:left w:type="dxa" w:w="120"/>
              <w:bottom w:type="dxa" w:w="80"/>
              <w:right w:type="dxa" w:w="120"/>
            </w:tcMar>
          </w:tcPr>
          <w:p>
            <w:pPr>
              <w:jc w:val="left"/>
            </w:pPr>
            <w:r>
              <w:rPr>
                <w:b w:val="false"/>
                <w:bCs w:val="false"/>
                <w:color w:val="000000"/>
                <w:sz w:val="20"/>
                <w:szCs w:val="20"/>
              </w:rPr>
              <w:t xml:space="preserve">Hekim Mesai Aşımı (dk/gün)</w:t>
            </w:r>
          </w:p>
        </w:tc>
        <w:tc>
          <w:tcPr>
            <w:tcW w:type="dxa" w:w="1403"/>
            <w:tcMar>
              <w:top w:type="dxa" w:w="80"/>
              <w:left w:type="dxa" w:w="120"/>
              <w:bottom w:type="dxa" w:w="80"/>
              <w:right w:type="dxa" w:w="120"/>
            </w:tcMar>
          </w:tcPr>
          <w:p>
            <w:pPr>
              <w:jc w:val="center"/>
            </w:pPr>
            <w:r>
              <w:rPr>
                <w:b w:val="false"/>
                <w:bCs w:val="false"/>
                <w:color w:val="000000"/>
                <w:sz w:val="20"/>
                <w:szCs w:val="20"/>
              </w:rPr>
              <w:t xml:space="preserve">13,14</w:t>
            </w:r>
          </w:p>
        </w:tc>
        <w:tc>
          <w:tcPr>
            <w:tcW w:type="dxa" w:w="1403"/>
            <w:tcMar>
              <w:top w:type="dxa" w:w="80"/>
              <w:left w:type="dxa" w:w="120"/>
              <w:bottom w:type="dxa" w:w="80"/>
              <w:right w:type="dxa" w:w="120"/>
            </w:tcMar>
          </w:tcPr>
          <w:p>
            <w:pPr>
              <w:jc w:val="center"/>
            </w:pPr>
            <w:r>
              <w:rPr>
                <w:b w:val="false"/>
                <w:bCs w:val="false"/>
                <w:color w:val="000000"/>
                <w:sz w:val="20"/>
                <w:szCs w:val="20"/>
              </w:rPr>
              <w:t xml:space="preserve">14,43</w:t>
            </w:r>
          </w:p>
        </w:tc>
        <w:tc>
          <w:tcPr>
            <w:tcW w:type="dxa" w:w="1870"/>
            <w:tcMar>
              <w:top w:type="dxa" w:w="80"/>
              <w:left w:type="dxa" w:w="120"/>
              <w:bottom w:type="dxa" w:w="80"/>
              <w:right w:type="dxa" w:w="120"/>
            </w:tcMar>
          </w:tcPr>
          <w:p>
            <w:pPr>
              <w:jc w:val="center"/>
            </w:pPr>
            <w:r>
              <w:rPr>
                <w:b w:val="false"/>
                <w:bCs w:val="false"/>
                <w:color w:val="000000"/>
                <w:sz w:val="20"/>
                <w:szCs w:val="20"/>
              </w:rPr>
              <w:t xml:space="preserve">+1,29 (+0,08, +2,50)</w:t>
            </w:r>
          </w:p>
        </w:tc>
        <w:tc>
          <w:tcPr>
            <w:tcW w:type="dxa" w:w="1122"/>
            <w:tcMar>
              <w:top w:type="dxa" w:w="80"/>
              <w:left w:type="dxa" w:w="120"/>
              <w:bottom w:type="dxa" w:w="80"/>
              <w:right w:type="dxa" w:w="120"/>
            </w:tcMar>
          </w:tcPr>
          <w:p>
            <w:pPr>
              <w:jc w:val="center"/>
            </w:pPr>
            <w:r>
              <w:rPr>
                <w:b w:val="false"/>
                <w:bCs w:val="false"/>
                <w:color w:val="000000"/>
                <w:sz w:val="20"/>
                <w:szCs w:val="20"/>
              </w:rPr>
              <w:t xml:space="preserve">0,037</w:t>
            </w:r>
          </w:p>
        </w:tc>
        <w:tc>
          <w:tcPr>
            <w:tcW w:type="dxa" w:w="1683"/>
            <w:tcMar>
              <w:top w:type="dxa" w:w="80"/>
              <w:left w:type="dxa" w:w="120"/>
              <w:bottom w:type="dxa" w:w="80"/>
              <w:right w:type="dxa" w:w="120"/>
            </w:tcMar>
          </w:tcPr>
          <w:p>
            <w:pPr>
              <w:jc w:val="center"/>
            </w:pPr>
            <w:r>
              <w:rPr>
                <w:b w:val="false"/>
                <w:bCs w:val="false"/>
                <w:color w:val="000000"/>
                <w:sz w:val="20"/>
                <w:szCs w:val="20"/>
              </w:rPr>
              <w:t xml:space="preserve">Evet (ters yönde)</w:t>
            </w:r>
          </w:p>
        </w:tc>
      </w:tr>
      <w:tr>
        <w:tc>
          <w:tcPr>
            <w:tcW w:type="dxa" w:w="2805"/>
            <w:tcMar>
              <w:top w:type="dxa" w:w="80"/>
              <w:left w:type="dxa" w:w="120"/>
              <w:bottom w:type="dxa" w:w="80"/>
              <w:right w:type="dxa" w:w="120"/>
            </w:tcMar>
          </w:tcPr>
          <w:p>
            <w:pPr>
              <w:jc w:val="left"/>
            </w:pPr>
            <w:r>
              <w:rPr>
                <w:b w:val="false"/>
                <w:bCs w:val="false"/>
                <w:color w:val="000000"/>
                <w:sz w:val="20"/>
                <w:szCs w:val="20"/>
              </w:rPr>
              <w:t xml:space="preserve">Görülen Hasta Sayısı (gün)</w:t>
            </w:r>
          </w:p>
        </w:tc>
        <w:tc>
          <w:tcPr>
            <w:tcW w:type="dxa" w:w="1403"/>
            <w:tcMar>
              <w:top w:type="dxa" w:w="80"/>
              <w:left w:type="dxa" w:w="120"/>
              <w:bottom w:type="dxa" w:w="80"/>
              <w:right w:type="dxa" w:w="120"/>
            </w:tcMar>
          </w:tcPr>
          <w:p>
            <w:pPr>
              <w:jc w:val="center"/>
            </w:pPr>
            <w:r>
              <w:rPr>
                <w:b w:val="false"/>
                <w:bCs w:val="false"/>
                <w:color w:val="000000"/>
                <w:sz w:val="20"/>
                <w:szCs w:val="20"/>
              </w:rPr>
              <w:t xml:space="preserve">17,89</w:t>
            </w:r>
          </w:p>
        </w:tc>
        <w:tc>
          <w:tcPr>
            <w:tcW w:type="dxa" w:w="1403"/>
            <w:tcMar>
              <w:top w:type="dxa" w:w="80"/>
              <w:left w:type="dxa" w:w="120"/>
              <w:bottom w:type="dxa" w:w="80"/>
              <w:right w:type="dxa" w:w="120"/>
            </w:tcMar>
          </w:tcPr>
          <w:p>
            <w:pPr>
              <w:jc w:val="center"/>
            </w:pPr>
            <w:r>
              <w:rPr>
                <w:b w:val="false"/>
                <w:bCs w:val="false"/>
                <w:color w:val="000000"/>
                <w:sz w:val="20"/>
                <w:szCs w:val="20"/>
              </w:rPr>
              <w:t xml:space="preserve">18,53</w:t>
            </w:r>
          </w:p>
        </w:tc>
        <w:tc>
          <w:tcPr>
            <w:tcW w:type="dxa" w:w="1870"/>
            <w:tcMar>
              <w:top w:type="dxa" w:w="80"/>
              <w:left w:type="dxa" w:w="120"/>
              <w:bottom w:type="dxa" w:w="80"/>
              <w:right w:type="dxa" w:w="120"/>
            </w:tcMar>
          </w:tcPr>
          <w:p>
            <w:pPr>
              <w:jc w:val="center"/>
            </w:pPr>
            <w:r>
              <w:rPr>
                <w:b w:val="false"/>
                <w:bCs w:val="false"/>
                <w:color w:val="000000"/>
                <w:sz w:val="20"/>
                <w:szCs w:val="20"/>
              </w:rPr>
              <w:t xml:space="preserve">+0,64 (+0,56, +0,72)</w:t>
            </w:r>
          </w:p>
        </w:tc>
        <w:tc>
          <w:tcPr>
            <w:tcW w:type="dxa" w:w="1122"/>
            <w:tcMar>
              <w:top w:type="dxa" w:w="80"/>
              <w:left w:type="dxa" w:w="120"/>
              <w:bottom w:type="dxa" w:w="80"/>
              <w:right w:type="dxa" w:w="120"/>
            </w:tcMar>
          </w:tcPr>
          <w:p>
            <w:pPr>
              <w:jc w:val="center"/>
            </w:pPr>
            <w:r>
              <w:rPr>
                <w:b w:val="false"/>
                <w:bCs w:val="false"/>
                <w:color w:val="000000"/>
                <w:sz w:val="20"/>
                <w:szCs w:val="20"/>
              </w:rPr>
              <w:t xml:space="preserve">&lt;0,000001</w:t>
            </w:r>
          </w:p>
        </w:tc>
        <w:tc>
          <w:tcPr>
            <w:tcW w:type="dxa" w:w="1683"/>
            <w:tcMar>
              <w:top w:type="dxa" w:w="80"/>
              <w:left w:type="dxa" w:w="120"/>
              <w:bottom w:type="dxa" w:w="80"/>
              <w:right w:type="dxa" w:w="120"/>
            </w:tcMar>
          </w:tcPr>
          <w:p>
            <w:pPr>
              <w:jc w:val="center"/>
            </w:pPr>
            <w:r>
              <w:rPr>
                <w:b w:val="false"/>
                <w:bCs w:val="false"/>
                <w:color w:val="000000"/>
                <w:sz w:val="20"/>
                <w:szCs w:val="20"/>
              </w:rPr>
              <w:t xml:space="preserve">Evet</w:t>
            </w:r>
          </w:p>
        </w:tc>
      </w:tr>
    </w:tbl>
    <w:p>
      <w:pPr>
        <w:spacing w:after="150"/>
      </w:pPr>
      <w:r>
        <w:rPr>
          <w:b w:val="false"/>
          <w:bCs w:val="false"/>
          <w:i w:val="false"/>
          <w:iCs w:val="false"/>
        </w:rPr>
        <w:t xml:space="preserve">Yeterli istatistiksel güçle (N=2.500) tekrarlanan simülasyon, ilk denemedeki (N=300) hasta bekleme süresi iyileşmesinin (%9,4) istatistiksel bir gürültü (yetersiz örneklem) olduğunu ortaya koymuştur; gerçek fark %95 güven aralığında sıfırı kapsamakta ve anlamlı değildir (p=0,181). Benzer şekilde hekim mesai aşımı, Politika B altında anlamlı ölçüde — fakat beklenenin tersi yönde — hafifçe artmaktadır (p=0,037). Buna karşılık, hekim atıl süresinin tamamen ortadan kalkması (p&lt;0,000001) ve günlük görülen hasta sayısındaki %3,6'lık artış (p&lt;0,000001) istatistiksel olarak sağlam ve tutarlı bulgulardır.</w:t>
      </w:r>
    </w:p>
    <w:p>
      <w:pPr>
        <w:spacing w:after="150"/>
      </w:pPr>
      <w:r>
        <w:rPr>
          <w:b w:val="false"/>
          <w:bCs w:val="false"/>
          <w:i/>
          <w:iCs/>
        </w:rPr>
        <w:t xml:space="preserve">Sonuç olarak, makalede “bekleme süresini %9,4/%20–40 azaltıyor” şeklindeki iddia sürdürülemez ve kaldırılmalıdır. Bunun yerine, sistemin kanıtlanmış klinik katkısı hasta deneyiminden çok kapasite/kaynak kullanım verimliliği ekseninde konumlandırılmalıdır: “Akıllı Hibrit Önceliklendirme, hasta bekleme süresinde istatistiksel olarak anlamlı bir değişim yaratmazken (p=0,181), hekim atıl süresini tamamen ortadan kaldırmış (p&lt;0,001) ve günlük görülen hasta sayısını %3,6 artırmıştır (p&lt;0,001).” Bu, hem daha dürüst hem de bir RCT olmaksızın savunulabilir tek iddiadır.</w:t>
      </w:r>
    </w:p>
    <w:p>
      <w:pPr>
        <w:spacing w:after="150"/>
      </w:pPr>
      <w:r>
        <w:rPr>
          <w:b w:val="false"/>
          <w:bCs w:val="false"/>
          <w:i/>
          <w:iCs/>
        </w:rPr>
        <w:t xml:space="preserve">Not: Bu doğrulama, modelin ürettiği olasılık skorlarına dayandığından, simülasyon sonuçlarının kalitesi doğrudan modelin kalibrasyon kalitesine bağlıdır. Optimize modelin kalibrasyonu, dış test setinde 10 kantil-binli güvenilirlik eğrisiyle ayrıca doğrulanmış; tahmin edilen olasılıklar ile gözlenen gerçek oranlar arasındaki fark tüm binlerde 0,017'nin altında kalmış, model ayrıca naif taban çizgisinden (sabit ortalama oran atayan model, Brier=0,0899) belirgin şekilde daha iyi performans göstermiştir (Brier=0,0738).</w:t>
      </w:r>
    </w:p>
    <w:p>
      <w:pPr>
        <w:spacing w:after="150"/>
      </w:pPr>
      <w:r>
        <w:rPr>
          <w:b w:val="false"/>
          <w:bCs w:val="false"/>
          <w:i/>
          <w:iCs/>
        </w:rPr>
        <w:t xml:space="preserve">Bekleme süresi dağılımlarının normal dağılıma uyup uymadığı, çarpıklık katsayısına (≈2,8) ek olarak formel Shapiro-Wilk normallik testi ile de sınanmıştır: her iki politika grubunda da normallik varsayımı yüksek anlamlılıkla reddedilmiştir (Statik: W=0,719, p&lt;10⁻⁵³; Hibrit: W=0,734, p&lt;10⁻⁵²). Bu, paired t-testinin normallik varsayımına duyarlılığını kontrol etmek amacıyla parametrik olmayan Wilcoxon signed-rank testinin de ayrıca uygulanmasını metodolojik olarak gerekli kılmaktadır. N=2.500 gibi büyük bir örneklemde gerek parametrik (t-testi, p=0,181) gerekse dağılım varsayımı gerektirmeyen (Wilcoxon, p=0,077) testlerin ikisinin de anlamlı fark üretmemesi, bulgunun test seçimine veya örneklem rastlantısına bağlı olmadığını gösteren bir dirençlilik (robustness) kanıtı olarak değerlendirilmektedir.</w:t>
      </w:r>
    </w:p>
    <w:p>
      <w:pPr>
        <w:spacing w:after="150"/>
      </w:pPr>
      <w:r>
        <w:rPr>
          <w:b w:val="false"/>
          <w:bCs w:val="false"/>
          <w:i/>
          <w:iCs/>
        </w:rPr>
        <w:t xml:space="preserve">Ayrıca, optimize Random Forest ile en yakın ikinci model olan CatBoost arasındaki dış test ROC-AUC farkının (0,8153 vs 0,7693) şans eseri olup olmadığı, korelasyonlu ROC eğrileri için geliştirilmiş DeLong testi ile sınanmıştır (Z=7,56, p&lt;0,0001); fark istatistiksel olarak yüksek anlamlılıkla doğrulanmıştır.</w:t>
      </w:r>
    </w:p>
    <w:p>
      <w:pPr>
        <w:spacing w:after="150"/>
      </w:pPr>
      <w:r>
        <w:rPr>
          <w:b w:val="false"/>
          <w:bCs w:val="false"/>
          <w:i/>
          <w:iCs/>
        </w:rPr>
        <w:t xml:space="preserve">PR-AUC ve Brier Skoru farklarının anlamlılığı ise 2.000 tekrarlı bootstrap paired-difference testi ile ayrıca sınanmıştır (dış test setinden aynı indekslerle eşleştirilmiş tekrarlı örnekleme): Random Forest ile CatBoost arasındaki PR-AUC farkı +0,091 (%95 GA: 0,072–0,111, p&lt;0,0005) ve Brier farkı −0,081 (%95 GA: −0,085 ile −0,077, p&lt;0,0005); Random Forest ile XGBoost arasındaki PR-AUC farkı +0,093 (%95 GA: 0,072–0,113, p&lt;0,0005) ve Brier farkı −0,075 (%95 GA: −0,079 ile −0,071, p&lt;0,0005) olarak bulunmuştur. Her iki metrikte de sıfırı kapsamayan dar güven aralıkları, Random Forest'ın hem ayırt edicilik hem kalibrasyon üstünlüğünün rastlantısal olmadığını doğrulamaktadır.</w:t>
      </w:r>
    </w:p>
    <w:p>
      <w:pPr>
        <w:pStyle w:val="Heading2"/>
        <w:spacing w:after="150" w:before="300"/>
      </w:pPr>
      <w:r>
        <w:t xml:space="preserve">4.1 Politika Tasarımının Sağlamlık (Robustness) Sınaması</w:t>
      </w:r>
    </w:p>
    <w:p>
      <w:pPr>
        <w:spacing w:after="150"/>
      </w:pPr>
      <w:r>
        <w:rPr>
          <w:b w:val="false"/>
          <w:bCs w:val="false"/>
          <w:i w:val="false"/>
          <w:iCs w:val="false"/>
        </w:rPr>
        <w:t xml:space="preserve">Hasta bekleme süresindeki anlamlı olmayan etkinin bir tasarım kusurundan mı yoksa sistemin yapısal bir sınırından mı kaynaklandığını ayırt etmek için, Politika B'nin yedek hasta çağırma mekanizması yeniden tasarlanmıştır. Orijinal tasarımda yedek hasta, yüksek riskli slotlara KOŞULSUZ olarak (birincil hasta gelse de gelmese de) önceden planlanmaktaydı; bu, birincil hastanın geldiği durumların çoğunda (eşik yalnızca %40 olduğundan) gereksiz bir ikinci hastayı sisteme sokarak kuyruğu şişirmekteydi. Politika C, yedek hastayı yalnızca birincil hastanın check-in penceresinde gelmediği KESİNLEŞTİĞİNDE (gerçek zamanlı sinyal) çağırmaktadır: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66"/>
        <w:gridCol w:w="2057"/>
        <w:gridCol w:w="2244"/>
        <w:gridCol w:w="2244"/>
      </w:tblGrid>
      <w:tr>
        <w:trPr>
          <w:tblHeader/>
        </w:trPr>
        <w:tc>
          <w:tcPr>
            <w:tcW w:type="dxa" w:w="3366"/>
            <w:shd w:fill="2F5496" w:val="clear"/>
            <w:tcMar>
              <w:top w:type="dxa" w:w="80"/>
              <w:left w:type="dxa" w:w="120"/>
              <w:bottom w:type="dxa" w:w="80"/>
              <w:right w:type="dxa" w:w="120"/>
            </w:tcMar>
          </w:tcPr>
          <w:p>
            <w:pPr>
              <w:jc w:val="center"/>
            </w:pPr>
            <w:r>
              <w:rPr>
                <w:b/>
                <w:bCs/>
                <w:color w:val="FFFFFF"/>
                <w:sz w:val="20"/>
                <w:szCs w:val="20"/>
              </w:rPr>
              <w:t xml:space="preserve">Metrik</w:t>
            </w:r>
          </w:p>
        </w:tc>
        <w:tc>
          <w:tcPr>
            <w:tcW w:type="dxa" w:w="2057"/>
            <w:shd w:fill="2F5496" w:val="clear"/>
            <w:tcMar>
              <w:top w:type="dxa" w:w="80"/>
              <w:left w:type="dxa" w:w="120"/>
              <w:bottom w:type="dxa" w:w="80"/>
              <w:right w:type="dxa" w:w="120"/>
            </w:tcMar>
          </w:tcPr>
          <w:p>
            <w:pPr>
              <w:jc w:val="center"/>
            </w:pPr>
            <w:r>
              <w:rPr>
                <w:b/>
                <w:bCs/>
                <w:color w:val="FFFFFF"/>
                <w:sz w:val="20"/>
                <w:szCs w:val="20"/>
              </w:rPr>
              <w:t xml:space="preserve">Statik (A)</w:t>
            </w:r>
          </w:p>
        </w:tc>
        <w:tc>
          <w:tcPr>
            <w:tcW w:type="dxa" w:w="2244"/>
            <w:shd w:fill="2F5496" w:val="clear"/>
            <w:tcMar>
              <w:top w:type="dxa" w:w="80"/>
              <w:left w:type="dxa" w:w="120"/>
              <w:bottom w:type="dxa" w:w="80"/>
              <w:right w:type="dxa" w:w="120"/>
            </w:tcMar>
          </w:tcPr>
          <w:p>
            <w:pPr>
              <w:jc w:val="center"/>
            </w:pPr>
            <w:r>
              <w:rPr>
                <w:b/>
                <w:bCs/>
                <w:color w:val="FFFFFF"/>
                <w:sz w:val="20"/>
                <w:szCs w:val="20"/>
              </w:rPr>
              <w:t xml:space="preserve">Politika B (Koşulsuz)</w:t>
            </w:r>
          </w:p>
        </w:tc>
        <w:tc>
          <w:tcPr>
            <w:tcW w:type="dxa" w:w="2244"/>
            <w:shd w:fill="2F5496" w:val="clear"/>
            <w:tcMar>
              <w:top w:type="dxa" w:w="80"/>
              <w:left w:type="dxa" w:w="120"/>
              <w:bottom w:type="dxa" w:w="80"/>
              <w:right w:type="dxa" w:w="120"/>
            </w:tcMar>
          </w:tcPr>
          <w:p>
            <w:pPr>
              <w:jc w:val="center"/>
            </w:pPr>
            <w:r>
              <w:rPr>
                <w:b/>
                <w:bCs/>
                <w:color w:val="FFFFFF"/>
                <w:sz w:val="20"/>
                <w:szCs w:val="20"/>
              </w:rPr>
              <w:t xml:space="preserve">Politika C (Koşullu)</w:t>
            </w:r>
          </w:p>
        </w:tc>
      </w:tr>
      <w:tr>
        <w:tc>
          <w:tcPr>
            <w:tcW w:type="dxa" w:w="3366"/>
            <w:tcMar>
              <w:top w:type="dxa" w:w="80"/>
              <w:left w:type="dxa" w:w="120"/>
              <w:bottom w:type="dxa" w:w="80"/>
              <w:right w:type="dxa" w:w="120"/>
            </w:tcMar>
          </w:tcPr>
          <w:p>
            <w:pPr>
              <w:jc w:val="left"/>
            </w:pPr>
            <w:r>
              <w:rPr>
                <w:b w:val="false"/>
                <w:bCs w:val="false"/>
                <w:color w:val="000000"/>
                <w:sz w:val="20"/>
                <w:szCs w:val="20"/>
              </w:rPr>
              <w:t xml:space="preserve">Bekleme Süresi Farkı (p-değeri)</w:t>
            </w:r>
          </w:p>
        </w:tc>
        <w:tc>
          <w:tcPr>
            <w:tcW w:type="dxa" w:w="2057"/>
            <w:tcMar>
              <w:top w:type="dxa" w:w="80"/>
              <w:left w:type="dxa" w:w="120"/>
              <w:bottom w:type="dxa" w:w="80"/>
              <w:right w:type="dxa" w:w="120"/>
            </w:tcMar>
          </w:tcPr>
          <w:p>
            <w:pPr>
              <w:jc w:val="center"/>
            </w:pPr>
            <w:r>
              <w:rPr>
                <w:b w:val="false"/>
                <w:bCs w:val="false"/>
                <w:color w:val="000000"/>
                <w:sz w:val="20"/>
                <w:szCs w:val="20"/>
              </w:rPr>
              <w:t xml:space="preserve">—</w:t>
            </w:r>
          </w:p>
        </w:tc>
        <w:tc>
          <w:tcPr>
            <w:tcW w:type="dxa" w:w="2244"/>
            <w:tcMar>
              <w:top w:type="dxa" w:w="80"/>
              <w:left w:type="dxa" w:w="120"/>
              <w:bottom w:type="dxa" w:w="80"/>
              <w:right w:type="dxa" w:w="120"/>
            </w:tcMar>
          </w:tcPr>
          <w:p>
            <w:pPr>
              <w:jc w:val="center"/>
            </w:pPr>
            <w:r>
              <w:rPr>
                <w:b w:val="false"/>
                <w:bCs w:val="false"/>
                <w:color w:val="000000"/>
                <w:sz w:val="20"/>
                <w:szCs w:val="20"/>
              </w:rPr>
              <w:t xml:space="preserve">+0,42 dk (p=0,181)</w:t>
            </w:r>
          </w:p>
        </w:tc>
        <w:tc>
          <w:tcPr>
            <w:tcW w:type="dxa" w:w="2244"/>
            <w:tcMar>
              <w:top w:type="dxa" w:w="80"/>
              <w:left w:type="dxa" w:w="120"/>
              <w:bottom w:type="dxa" w:w="80"/>
              <w:right w:type="dxa" w:w="120"/>
            </w:tcMar>
          </w:tcPr>
          <w:p>
            <w:pPr>
              <w:jc w:val="center"/>
            </w:pPr>
            <w:r>
              <w:rPr>
                <w:b w:val="false"/>
                <w:bCs w:val="false"/>
                <w:color w:val="000000"/>
                <w:sz w:val="20"/>
                <w:szCs w:val="20"/>
              </w:rPr>
              <w:t xml:space="preserve">+0,52 dk (p=0,102)</w:t>
            </w:r>
          </w:p>
        </w:tc>
      </w:tr>
      <w:tr>
        <w:tc>
          <w:tcPr>
            <w:tcW w:type="dxa" w:w="3366"/>
            <w:tcMar>
              <w:top w:type="dxa" w:w="80"/>
              <w:left w:type="dxa" w:w="120"/>
              <w:bottom w:type="dxa" w:w="80"/>
              <w:right w:type="dxa" w:w="120"/>
            </w:tcMar>
          </w:tcPr>
          <w:p>
            <w:pPr>
              <w:jc w:val="left"/>
            </w:pPr>
            <w:r>
              <w:rPr>
                <w:b w:val="false"/>
                <w:bCs w:val="false"/>
                <w:color w:val="000000"/>
                <w:sz w:val="20"/>
                <w:szCs w:val="20"/>
              </w:rPr>
              <w:t xml:space="preserve">Mesai Aşımı Farkı (p-değeri)</w:t>
            </w:r>
          </w:p>
        </w:tc>
        <w:tc>
          <w:tcPr>
            <w:tcW w:type="dxa" w:w="2057"/>
            <w:tcMar>
              <w:top w:type="dxa" w:w="80"/>
              <w:left w:type="dxa" w:w="120"/>
              <w:bottom w:type="dxa" w:w="80"/>
              <w:right w:type="dxa" w:w="120"/>
            </w:tcMar>
          </w:tcPr>
          <w:p>
            <w:pPr>
              <w:jc w:val="center"/>
            </w:pPr>
            <w:r>
              <w:rPr>
                <w:b w:val="false"/>
                <w:bCs w:val="false"/>
                <w:color w:val="000000"/>
                <w:sz w:val="20"/>
                <w:szCs w:val="20"/>
              </w:rPr>
              <w:t xml:space="preserve">—</w:t>
            </w:r>
          </w:p>
        </w:tc>
        <w:tc>
          <w:tcPr>
            <w:tcW w:type="dxa" w:w="2244"/>
            <w:tcMar>
              <w:top w:type="dxa" w:w="80"/>
              <w:left w:type="dxa" w:w="120"/>
              <w:bottom w:type="dxa" w:w="80"/>
              <w:right w:type="dxa" w:w="120"/>
            </w:tcMar>
          </w:tcPr>
          <w:p>
            <w:pPr>
              <w:jc w:val="center"/>
            </w:pPr>
            <w:r>
              <w:rPr>
                <w:b w:val="false"/>
                <w:bCs w:val="false"/>
                <w:color w:val="000000"/>
                <w:sz w:val="20"/>
                <w:szCs w:val="20"/>
              </w:rPr>
              <w:t xml:space="preserve">+1,29 dk (p=0,037, kötü)</w:t>
            </w:r>
          </w:p>
        </w:tc>
        <w:tc>
          <w:tcPr>
            <w:tcW w:type="dxa" w:w="2244"/>
            <w:tcMar>
              <w:top w:type="dxa" w:w="80"/>
              <w:left w:type="dxa" w:w="120"/>
              <w:bottom w:type="dxa" w:w="80"/>
              <w:right w:type="dxa" w:w="120"/>
            </w:tcMar>
          </w:tcPr>
          <w:p>
            <w:pPr>
              <w:jc w:val="center"/>
            </w:pPr>
            <w:r>
              <w:rPr>
                <w:b w:val="false"/>
                <w:bCs w:val="false"/>
                <w:color w:val="000000"/>
                <w:sz w:val="20"/>
                <w:szCs w:val="20"/>
              </w:rPr>
              <w:t xml:space="preserve">−0,36 dk (p=0,557)</w:t>
            </w:r>
          </w:p>
        </w:tc>
      </w:tr>
      <w:tr>
        <w:tc>
          <w:tcPr>
            <w:tcW w:type="dxa" w:w="3366"/>
            <w:tcMar>
              <w:top w:type="dxa" w:w="80"/>
              <w:left w:type="dxa" w:w="120"/>
              <w:bottom w:type="dxa" w:w="80"/>
              <w:right w:type="dxa" w:w="120"/>
            </w:tcMar>
          </w:tcPr>
          <w:p>
            <w:pPr>
              <w:jc w:val="left"/>
            </w:pPr>
            <w:r>
              <w:rPr>
                <w:b w:val="false"/>
                <w:bCs w:val="false"/>
                <w:color w:val="000000"/>
                <w:sz w:val="20"/>
                <w:szCs w:val="20"/>
              </w:rPr>
              <w:t xml:space="preserve">Hasta Sayısı Farkı (p-değeri)</w:t>
            </w:r>
          </w:p>
        </w:tc>
        <w:tc>
          <w:tcPr>
            <w:tcW w:type="dxa" w:w="2057"/>
            <w:tcMar>
              <w:top w:type="dxa" w:w="80"/>
              <w:left w:type="dxa" w:w="120"/>
              <w:bottom w:type="dxa" w:w="80"/>
              <w:right w:type="dxa" w:w="120"/>
            </w:tcMar>
          </w:tcPr>
          <w:p>
            <w:pPr>
              <w:jc w:val="center"/>
            </w:pPr>
            <w:r>
              <w:rPr>
                <w:b w:val="false"/>
                <w:bCs w:val="false"/>
                <w:color w:val="000000"/>
                <w:sz w:val="20"/>
                <w:szCs w:val="20"/>
              </w:rPr>
              <w:t xml:space="preserve">—</w:t>
            </w:r>
          </w:p>
        </w:tc>
        <w:tc>
          <w:tcPr>
            <w:tcW w:type="dxa" w:w="2244"/>
            <w:tcMar>
              <w:top w:type="dxa" w:w="80"/>
              <w:left w:type="dxa" w:w="120"/>
              <w:bottom w:type="dxa" w:w="80"/>
              <w:right w:type="dxa" w:w="120"/>
            </w:tcMar>
          </w:tcPr>
          <w:p>
            <w:pPr>
              <w:jc w:val="center"/>
            </w:pPr>
            <w:r>
              <w:rPr>
                <w:b w:val="false"/>
                <w:bCs w:val="false"/>
                <w:color w:val="000000"/>
                <w:sz w:val="20"/>
                <w:szCs w:val="20"/>
              </w:rPr>
              <w:t xml:space="preserve">+0,64 (p&lt;0,001)</w:t>
            </w:r>
          </w:p>
        </w:tc>
        <w:tc>
          <w:tcPr>
            <w:tcW w:type="dxa" w:w="2244"/>
            <w:tcMar>
              <w:top w:type="dxa" w:w="80"/>
              <w:left w:type="dxa" w:w="120"/>
              <w:bottom w:type="dxa" w:w="80"/>
              <w:right w:type="dxa" w:w="120"/>
            </w:tcMar>
          </w:tcPr>
          <w:p>
            <w:pPr>
              <w:jc w:val="center"/>
            </w:pPr>
            <w:r>
              <w:rPr>
                <w:b w:val="false"/>
                <w:bCs w:val="false"/>
                <w:color w:val="000000"/>
                <w:sz w:val="20"/>
                <w:szCs w:val="20"/>
              </w:rPr>
              <w:t xml:space="preserve">+0,33 (p&lt;0,001)</w:t>
            </w:r>
          </w:p>
        </w:tc>
      </w:tr>
    </w:tbl>
    <w:p>
      <w:pPr>
        <w:spacing w:after="150"/>
      </w:pPr>
      <w:r>
        <w:rPr>
          <w:b w:val="false"/>
          <w:bCs w:val="false"/>
          <w:i/>
          <w:iCs/>
        </w:rPr>
        <w:t xml:space="preserve">Yeniden tasarlanan Politika C, orijinal tasarımın istatistiksel olarak anlamlı yan etkisini (mesai aşımının kötüleşmesi, p=0,037) gidermiştir. Ancak hasta bekleme süresi, iki farklı tasarımda da istatistiksel olarak anlamlı şekilde iyileşmemiştir. İki bağımsız tasarımın tutarlı biçimde aynı sonucu vermesi, bu bulgunun bir uygulama hatasından değil, tek hekimli/sınırlı kapasiteli bir poliklinik ortamının yapısal bir sınırından kaynaklandığını göstermektedir: aşırı rezervasyon mekanizmaları atıl kapasiteyi doldurup hasta hacmini artırsa da, zaten randevusuna gelen hastaların bekleme deneyimini ölçülebilir şekilde iyileştirmemektedir. Bu, makalenin ana iddiasını zayıflatmak yerine güçlendiren bir sağlamlık (robustness) kanıtıdır.</w:t>
      </w:r>
    </w:p>
    <w:p>
      <w:pPr>
        <w:spacing w:after="150"/>
      </w:pPr>
      <w:r>
        <w:rPr>
          <w:b w:val="false"/>
          <w:bCs w:val="false"/>
          <w:i w:val="false"/>
          <w:iCs w:val="false"/>
        </w:rPr>
        <w:t xml:space="preserve">Politika B ile Politika C arasındaki seçim, klinik/idari bir ödünleşim (trade-off) sunmaktadır: Politika B günlük hasta kazanımını daha yüksek tutar (+0,64 hasta/gün, p&lt;0,001) ancak mesai aşımı riskini artırır (+1,29 dk/gün, p=0,037); Politika C ise mesai aşımı riskini istatistiksel olarak anlamlı bir kötüleşme göstermeksizin (p=0,557) sınırlı tutarken, günlük hasta kazanımını daha mütevazı bir düzeyde sağlar (+0,33 hasta/gün, p&lt;0,001). Klinik idareler, personel/mesai kaynağının bol olduğu yoğun dönemlerde Politika B'nin daha agresif kapasite artışını, personel kaynağının kısıtlı olduğu dönemlerde ise Politika C'nin daha temkinli, mesai riskini sınırlayan dengesini tercih edebilir.</w:t>
      </w:r>
    </w:p>
    <w:p>
      <w:pPr>
        <w:pStyle w:val="Heading2"/>
        <w:spacing w:after="150" w:before="300"/>
      </w:pPr>
      <w:r>
        <w:t xml:space="preserve">4.2 SHAP Tabanlı Açıklanabilirlik: Sayısal Öznitelik Sıralaması</w:t>
      </w:r>
    </w:p>
    <w:p>
      <w:pPr>
        <w:spacing w:after="150"/>
      </w:pPr>
      <w:r>
        <w:rPr>
          <w:b w:val="false"/>
          <w:bCs w:val="false"/>
          <w:i w:val="false"/>
          <w:iCs w:val="false"/>
        </w:rPr>
        <w:t xml:space="preserve">Optimize edilmiş şampiyon model üzerinde, SADECE saklı dış test setinden (train'e dokunulmadan) N=2.000 hastalık bir örneklemle TreeExplainer (SHAP) çalıştırılmış; ortalama mutlak SHAP değerine göre küresel öznitelik önemi hesaplanmıştır: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3"/>
        <w:gridCol w:w="5143"/>
        <w:gridCol w:w="2805"/>
      </w:tblGrid>
      <w:tr>
        <w:trPr>
          <w:tblHeader/>
        </w:trPr>
        <w:tc>
          <w:tcPr>
            <w:tcW w:type="dxa" w:w="1403"/>
            <w:shd w:fill="2F5496" w:val="clear"/>
            <w:tcMar>
              <w:top w:type="dxa" w:w="80"/>
              <w:left w:type="dxa" w:w="120"/>
              <w:bottom w:type="dxa" w:w="80"/>
              <w:right w:type="dxa" w:w="120"/>
            </w:tcMar>
          </w:tcPr>
          <w:p>
            <w:pPr>
              <w:jc w:val="center"/>
            </w:pPr>
            <w:r>
              <w:rPr>
                <w:b/>
                <w:bCs/>
                <w:color w:val="FFFFFF"/>
                <w:sz w:val="20"/>
                <w:szCs w:val="20"/>
              </w:rPr>
              <w:t xml:space="preserve">Sıra</w:t>
            </w:r>
          </w:p>
        </w:tc>
        <w:tc>
          <w:tcPr>
            <w:tcW w:type="dxa" w:w="5143"/>
            <w:shd w:fill="2F5496" w:val="clear"/>
            <w:tcMar>
              <w:top w:type="dxa" w:w="80"/>
              <w:left w:type="dxa" w:w="120"/>
              <w:bottom w:type="dxa" w:w="80"/>
              <w:right w:type="dxa" w:w="120"/>
            </w:tcMar>
          </w:tcPr>
          <w:p>
            <w:pPr>
              <w:jc w:val="center"/>
            </w:pPr>
            <w:r>
              <w:rPr>
                <w:b/>
                <w:bCs/>
                <w:color w:val="FFFFFF"/>
                <w:sz w:val="20"/>
                <w:szCs w:val="20"/>
              </w:rPr>
              <w:t xml:space="preserve">Öznitelik</w:t>
            </w:r>
          </w:p>
        </w:tc>
        <w:tc>
          <w:tcPr>
            <w:tcW w:type="dxa" w:w="2805"/>
            <w:shd w:fill="2F5496" w:val="clear"/>
            <w:tcMar>
              <w:top w:type="dxa" w:w="80"/>
              <w:left w:type="dxa" w:w="120"/>
              <w:bottom w:type="dxa" w:w="80"/>
              <w:right w:type="dxa" w:w="120"/>
            </w:tcMar>
          </w:tcPr>
          <w:p>
            <w:pPr>
              <w:jc w:val="center"/>
            </w:pPr>
            <w:r>
              <w:rPr>
                <w:b/>
                <w:bCs/>
                <w:color w:val="FFFFFF"/>
                <w:sz w:val="20"/>
                <w:szCs w:val="20"/>
              </w:rPr>
              <w:t xml:space="preserve">Mean |SHAP| (N=2.000)</w:t>
            </w:r>
          </w:p>
        </w:tc>
      </w:tr>
      <w:tr>
        <w:tc>
          <w:tcPr>
            <w:tcW w:type="dxa" w:w="1403"/>
            <w:tcMar>
              <w:top w:type="dxa" w:w="80"/>
              <w:left w:type="dxa" w:w="120"/>
              <w:bottom w:type="dxa" w:w="80"/>
              <w:right w:type="dxa" w:w="120"/>
            </w:tcMar>
          </w:tcPr>
          <w:p>
            <w:pPr>
              <w:jc w:val="left"/>
            </w:pPr>
            <w:r>
              <w:rPr>
                <w:b w:val="false"/>
                <w:bCs w:val="false"/>
                <w:color w:val="000000"/>
                <w:sz w:val="20"/>
                <w:szCs w:val="20"/>
              </w:rPr>
              <w:t xml:space="preserve">1</w:t>
            </w:r>
          </w:p>
        </w:tc>
        <w:tc>
          <w:tcPr>
            <w:tcW w:type="dxa" w:w="5143"/>
            <w:tcMar>
              <w:top w:type="dxa" w:w="80"/>
              <w:left w:type="dxa" w:w="120"/>
              <w:bottom w:type="dxa" w:w="80"/>
              <w:right w:type="dxa" w:w="120"/>
            </w:tcMar>
          </w:tcPr>
          <w:p>
            <w:pPr>
              <w:jc w:val="center"/>
            </w:pPr>
            <w:r>
              <w:rPr>
                <w:b w:val="false"/>
                <w:bCs w:val="false"/>
                <w:color w:val="000000"/>
                <w:sz w:val="20"/>
                <w:szCs w:val="20"/>
              </w:rPr>
              <w:t xml:space="preserve">appointment_year</w:t>
            </w:r>
          </w:p>
        </w:tc>
        <w:tc>
          <w:tcPr>
            <w:tcW w:type="dxa" w:w="2805"/>
            <w:tcMar>
              <w:top w:type="dxa" w:w="80"/>
              <w:left w:type="dxa" w:w="120"/>
              <w:bottom w:type="dxa" w:w="80"/>
              <w:right w:type="dxa" w:w="120"/>
            </w:tcMar>
          </w:tcPr>
          <w:p>
            <w:pPr>
              <w:jc w:val="center"/>
            </w:pPr>
            <w:r>
              <w:rPr>
                <w:b w:val="false"/>
                <w:bCs w:val="false"/>
                <w:color w:val="000000"/>
                <w:sz w:val="20"/>
                <w:szCs w:val="20"/>
              </w:rPr>
              <w:t xml:space="preserve">0,0334</w:t>
            </w:r>
          </w:p>
        </w:tc>
      </w:tr>
      <w:tr>
        <w:tc>
          <w:tcPr>
            <w:tcW w:type="dxa" w:w="1403"/>
            <w:tcMar>
              <w:top w:type="dxa" w:w="80"/>
              <w:left w:type="dxa" w:w="120"/>
              <w:bottom w:type="dxa" w:w="80"/>
              <w:right w:type="dxa" w:w="120"/>
            </w:tcMar>
          </w:tcPr>
          <w:p>
            <w:pPr>
              <w:jc w:val="left"/>
            </w:pPr>
            <w:r>
              <w:rPr>
                <w:b w:val="false"/>
                <w:bCs w:val="false"/>
                <w:color w:val="000000"/>
                <w:sz w:val="20"/>
                <w:szCs w:val="20"/>
              </w:rPr>
              <w:t xml:space="preserve">2</w:t>
            </w:r>
          </w:p>
        </w:tc>
        <w:tc>
          <w:tcPr>
            <w:tcW w:type="dxa" w:w="5143"/>
            <w:tcMar>
              <w:top w:type="dxa" w:w="80"/>
              <w:left w:type="dxa" w:w="120"/>
              <w:bottom w:type="dxa" w:w="80"/>
              <w:right w:type="dxa" w:w="120"/>
            </w:tcMar>
          </w:tcPr>
          <w:p>
            <w:pPr>
              <w:jc w:val="center"/>
            </w:pPr>
            <w:r>
              <w:rPr>
                <w:b w:val="false"/>
                <w:bCs w:val="false"/>
                <w:color w:val="000000"/>
                <w:sz w:val="20"/>
                <w:szCs w:val="20"/>
              </w:rPr>
              <w:t xml:space="preserve">lead_time</w:t>
            </w:r>
          </w:p>
        </w:tc>
        <w:tc>
          <w:tcPr>
            <w:tcW w:type="dxa" w:w="2805"/>
            <w:tcMar>
              <w:top w:type="dxa" w:w="80"/>
              <w:left w:type="dxa" w:w="120"/>
              <w:bottom w:type="dxa" w:w="80"/>
              <w:right w:type="dxa" w:w="120"/>
            </w:tcMar>
          </w:tcPr>
          <w:p>
            <w:pPr>
              <w:jc w:val="center"/>
            </w:pPr>
            <w:r>
              <w:rPr>
                <w:b w:val="false"/>
                <w:bCs w:val="false"/>
                <w:color w:val="000000"/>
                <w:sz w:val="20"/>
                <w:szCs w:val="20"/>
              </w:rPr>
              <w:t xml:space="preserve">0,0146</w:t>
            </w:r>
          </w:p>
        </w:tc>
      </w:tr>
      <w:tr>
        <w:tc>
          <w:tcPr>
            <w:tcW w:type="dxa" w:w="1403"/>
            <w:tcMar>
              <w:top w:type="dxa" w:w="80"/>
              <w:left w:type="dxa" w:w="120"/>
              <w:bottom w:type="dxa" w:w="80"/>
              <w:right w:type="dxa" w:w="120"/>
            </w:tcMar>
          </w:tcPr>
          <w:p>
            <w:pPr>
              <w:jc w:val="left"/>
            </w:pPr>
            <w:r>
              <w:rPr>
                <w:b w:val="false"/>
                <w:bCs w:val="false"/>
                <w:color w:val="000000"/>
                <w:sz w:val="20"/>
                <w:szCs w:val="20"/>
              </w:rPr>
              <w:t xml:space="preserve">3</w:t>
            </w:r>
          </w:p>
        </w:tc>
        <w:tc>
          <w:tcPr>
            <w:tcW w:type="dxa" w:w="5143"/>
            <w:tcMar>
              <w:top w:type="dxa" w:w="80"/>
              <w:left w:type="dxa" w:w="120"/>
              <w:bottom w:type="dxa" w:w="80"/>
              <w:right w:type="dxa" w:w="120"/>
            </w:tcMar>
          </w:tcPr>
          <w:p>
            <w:pPr>
              <w:jc w:val="center"/>
            </w:pPr>
            <w:r>
              <w:rPr>
                <w:b w:val="false"/>
                <w:bCs w:val="false"/>
                <w:color w:val="000000"/>
                <w:sz w:val="20"/>
                <w:szCs w:val="20"/>
              </w:rPr>
              <w:t xml:space="preserve">average_temp_day</w:t>
            </w:r>
          </w:p>
        </w:tc>
        <w:tc>
          <w:tcPr>
            <w:tcW w:type="dxa" w:w="2805"/>
            <w:tcMar>
              <w:top w:type="dxa" w:w="80"/>
              <w:left w:type="dxa" w:w="120"/>
              <w:bottom w:type="dxa" w:w="80"/>
              <w:right w:type="dxa" w:w="120"/>
            </w:tcMar>
          </w:tcPr>
          <w:p>
            <w:pPr>
              <w:jc w:val="center"/>
            </w:pPr>
            <w:r>
              <w:rPr>
                <w:b w:val="false"/>
                <w:bCs w:val="false"/>
                <w:color w:val="000000"/>
                <w:sz w:val="20"/>
                <w:szCs w:val="20"/>
              </w:rPr>
              <w:t xml:space="preserve">0,0107</w:t>
            </w:r>
          </w:p>
        </w:tc>
      </w:tr>
      <w:tr>
        <w:tc>
          <w:tcPr>
            <w:tcW w:type="dxa" w:w="1403"/>
            <w:tcMar>
              <w:top w:type="dxa" w:w="80"/>
              <w:left w:type="dxa" w:w="120"/>
              <w:bottom w:type="dxa" w:w="80"/>
              <w:right w:type="dxa" w:w="120"/>
            </w:tcMar>
          </w:tcPr>
          <w:p>
            <w:pPr>
              <w:jc w:val="left"/>
            </w:pPr>
            <w:r>
              <w:rPr>
                <w:b w:val="false"/>
                <w:bCs w:val="false"/>
                <w:color w:val="000000"/>
                <w:sz w:val="20"/>
                <w:szCs w:val="20"/>
              </w:rPr>
              <w:t xml:space="preserve">4</w:t>
            </w:r>
          </w:p>
        </w:tc>
        <w:tc>
          <w:tcPr>
            <w:tcW w:type="dxa" w:w="5143"/>
            <w:tcMar>
              <w:top w:type="dxa" w:w="80"/>
              <w:left w:type="dxa" w:w="120"/>
              <w:bottom w:type="dxa" w:w="80"/>
              <w:right w:type="dxa" w:w="120"/>
            </w:tcMar>
          </w:tcPr>
          <w:p>
            <w:pPr>
              <w:jc w:val="center"/>
            </w:pPr>
            <w:r>
              <w:rPr>
                <w:b w:val="false"/>
                <w:bCs w:val="false"/>
                <w:color w:val="000000"/>
                <w:sz w:val="20"/>
                <w:szCs w:val="20"/>
              </w:rPr>
              <w:t xml:space="preserve">temp_range</w:t>
            </w:r>
          </w:p>
        </w:tc>
        <w:tc>
          <w:tcPr>
            <w:tcW w:type="dxa" w:w="2805"/>
            <w:tcMar>
              <w:top w:type="dxa" w:w="80"/>
              <w:left w:type="dxa" w:w="120"/>
              <w:bottom w:type="dxa" w:w="80"/>
              <w:right w:type="dxa" w:w="120"/>
            </w:tcMar>
          </w:tcPr>
          <w:p>
            <w:pPr>
              <w:jc w:val="center"/>
            </w:pPr>
            <w:r>
              <w:rPr>
                <w:b w:val="false"/>
                <w:bCs w:val="false"/>
                <w:color w:val="000000"/>
                <w:sz w:val="20"/>
                <w:szCs w:val="20"/>
              </w:rPr>
              <w:t xml:space="preserve">0,0085</w:t>
            </w:r>
          </w:p>
        </w:tc>
      </w:tr>
      <w:tr>
        <w:tc>
          <w:tcPr>
            <w:tcW w:type="dxa" w:w="1403"/>
            <w:tcMar>
              <w:top w:type="dxa" w:w="80"/>
              <w:left w:type="dxa" w:w="120"/>
              <w:bottom w:type="dxa" w:w="80"/>
              <w:right w:type="dxa" w:w="120"/>
            </w:tcMar>
          </w:tcPr>
          <w:p>
            <w:pPr>
              <w:jc w:val="left"/>
            </w:pPr>
            <w:r>
              <w:rPr>
                <w:b w:val="false"/>
                <w:bCs w:val="false"/>
                <w:color w:val="000000"/>
                <w:sz w:val="20"/>
                <w:szCs w:val="20"/>
              </w:rPr>
              <w:t xml:space="preserve">5</w:t>
            </w:r>
          </w:p>
        </w:tc>
        <w:tc>
          <w:tcPr>
            <w:tcW w:type="dxa" w:w="5143"/>
            <w:tcMar>
              <w:top w:type="dxa" w:w="80"/>
              <w:left w:type="dxa" w:w="120"/>
              <w:bottom w:type="dxa" w:w="80"/>
              <w:right w:type="dxa" w:w="120"/>
            </w:tcMar>
          </w:tcPr>
          <w:p>
            <w:pPr>
              <w:jc w:val="center"/>
            </w:pPr>
            <w:r>
              <w:rPr>
                <w:b w:val="false"/>
                <w:bCs w:val="false"/>
                <w:color w:val="000000"/>
                <w:sz w:val="20"/>
                <w:szCs w:val="20"/>
              </w:rPr>
              <w:t xml:space="preserve">max_temp_day</w:t>
            </w:r>
          </w:p>
        </w:tc>
        <w:tc>
          <w:tcPr>
            <w:tcW w:type="dxa" w:w="2805"/>
            <w:tcMar>
              <w:top w:type="dxa" w:w="80"/>
              <w:left w:type="dxa" w:w="120"/>
              <w:bottom w:type="dxa" w:w="80"/>
              <w:right w:type="dxa" w:w="120"/>
            </w:tcMar>
          </w:tcPr>
          <w:p>
            <w:pPr>
              <w:jc w:val="center"/>
            </w:pPr>
            <w:r>
              <w:rPr>
                <w:b w:val="false"/>
                <w:bCs w:val="false"/>
                <w:color w:val="000000"/>
                <w:sz w:val="20"/>
                <w:szCs w:val="20"/>
              </w:rPr>
              <w:t xml:space="preserve">0,0080</w:t>
            </w:r>
          </w:p>
        </w:tc>
      </w:tr>
    </w:tbl>
    <w:p>
      <w:pPr>
        <w:spacing w:after="150"/>
      </w:pPr>
      <w:r>
        <w:rPr>
          <w:b w:val="false"/>
          <w:bCs w:val="false"/>
          <w:i/>
          <w:iCs/>
        </w:rPr>
        <w:t xml:space="preserve">Örneklem boyutunun sıralama kararlılığını etkileyip etkilemediğini sınamak için, N=2.000'lik ana analize ek olarak farklı rastgele tohumlarla bağımsız bir N=500 örneklemi (Örneklem A) ayrıca çalıştırılmıştır. İlk 5 sıradaki öznitelikler ve göreli büyüklükleri her iki örneklemde de tutarlı çıkmıştır (örn. appointment_year: 0,0334 vs 0,0326; lead_time: 0,0146 vs 0,0139); bu, küresel SHAP hiyerarşisinin örnekleme rastlantısına duyarlı olmadığını göstermektedir. Hesaplama maliyeti (TreeExplainer, 300 ağaç × 78 öznitelik için N=2.000 örneklemde ~20 dakika, tek çekirdek) nedeniyle N=9.329'luk tam dış test setinde koşum yapılmamış, bunun yerine örneklem boyutunun 4 katına çıkarılması ve bağımsız bir ikinci örneklemle çapraz doğrulama tercih edilmiştir.</w:t>
      </w:r>
    </w:p>
    <w:p>
      <w:pPr>
        <w:spacing w:after="150"/>
      </w:pPr>
      <w:r>
        <w:rPr>
          <w:b w:val="false"/>
          <w:bCs w:val="false"/>
          <w:i/>
          <w:iCs/>
        </w:rPr>
        <w:t xml:space="preserve">Not: sklearn'ün varsayılan (Gini/MDI tabanlı) feature_importances_ ölçütü farklı bir sıralama verir (lead_time #1, appointment_hour #2); bu, MDI'nin çok sayıda bölünme noktası sunan sürekli değişkenleri yapısal olarak şişirmesinden kaynaklanır. Modelin tahmine gerçek marjinal katkısını ölçen SHAP, metodolojik olarak daha savunulabilir ölçüttür (Lundberg &amp; Lee, 2017) ve makalede raporlanması gereken sıralama budur.</w:t>
      </w:r>
    </w:p>
    <w:p>
      <w:pPr>
        <w:spacing w:after="150"/>
      </w:pPr>
      <w:r>
        <w:rPr>
          <w:b w:val="false"/>
          <w:bCs w:val="false"/>
          <w:i/>
          <w:iCs/>
        </w:rPr>
        <w:t xml:space="preserve">Literatürdeki no-show çalışmalarının çoğunda (Hathaway ve ark., 2025; Yang ve ark., 2024; Barrera Ferro ve ark., 2020) en baskın değişken lead_time (bekleme süresi) veya hastanın geçmiş gelmeme sayısı olarak raporlanmıştır. Modelimizde appointment_year'ın ilk sırada çıkması, bu literatürle çelişmekten çok, veri setinin kapsadığı dönemde (2015–2016) sağlık otomasyon sistemlerinin yaygınlaşmasının hasta randevu uyum davranışında yarattığı konjonktürel/zamansal bir trendi yansıtmaktadır — bu değişken operasyonel olarak müdahale edilemez (geçmişe dönük bir takvim etkisidir). Buna karşılık, ikinci sıradaki lead_time, klinik/idari olarak doğrudan müdahale edilebilir (randevu verilirken bekleme süresinin kısaltılması gibi) en baskın değişkendir ve CDSS'in operasyonel önerileri bu değişken etrafında kurgulanmalıdır.</w:t>
      </w:r>
    </w:p>
    <w:p>
      <w:pPr>
        <w:spacing w:after="150"/>
      </w:pPr>
      <w:r>
        <w:rPr>
          <w:b w:val="false"/>
          <w:bCs w:val="false"/>
          <w:i/>
          <w:iCs/>
        </w:rPr>
        <w:t xml:space="preserve">SHAP değerlerinin çoklu-doğrusallık (multicollinearity) altında yanıltıcı dağılabileceği bilindiğinden, ilk 5 sıradaki özniteliklerin kendi aralarındaki Pearson korelasyonu ayrıca kontrol edilmiştir. appointment_year ile lead_time arasında orta düzey bir korelasyon (r=0,457) bulunmuş; bu, ilk iki sıranın göreli önem sıralamasının nispeten güvenilir olduğunu göstermektedir. Buna karşılık, average_temp_day ile max_temp_day arasında yüksek korelasyon (r=0,877) tespit edilmiştir — bu iki değişken muhtemelen aynı “sıcak gün” sinyalini paylaşmaktadır ve SHAP'ın bu ikisi arasındaki katkıyı nasıl böldüğü (3. sıra vs 5. sıra) rastlantısal olabilir; bu nedenle 3–5. sıralardaki kesin ordinal sıralama düşük güvenle, yalnızca “bu üç meteorolojik değişken toplu olarak önemlidir” şeklinde yorumlanmalıdır. Geniş öznitelik kümesinde (78 öznitelik) |r|&gt;0,8 olan 15 çift daha tespit edilmiş; bunların çoğu yapısal olarak tamamlayıcı one-hot kodlanmış kategori çiftleridir (örn. gender_F/gender_M, appointment_shift_morning/afternoon) ve ağaç tabanlı modeller için pratik bir sorun oluşturmaz.</w:t>
      </w:r>
    </w:p>
    <w:p>
      <w:pPr>
        <w:pStyle w:val="Heading2"/>
        <w:spacing w:after="150" w:before="300"/>
      </w:pPr>
      <w:r>
        <w:t xml:space="preserve">4.3 Concept Drift ve Model Güncelleme Protokolü</w:t>
      </w:r>
    </w:p>
    <w:p>
      <w:pPr>
        <w:spacing w:after="150"/>
      </w:pPr>
      <w:r>
        <w:rPr>
          <w:b w:val="false"/>
          <w:bCs w:val="false"/>
          <w:i w:val="false"/>
          <w:iCs w:val="false"/>
        </w:rPr>
        <w:t xml:space="preserve">SHAP sıralamasında en baskın değişkenin appointment_year (geçmişe dönük takvim yılı) olması, canlı bir HBYS entegrasyonu için önemli bir sonuç doğurmaktadır: model, kısmen zamana özgü bir örüntüyü (2015–2016 dönemi randevu kültürü) öğrenmiştir ve bu örüntü ileriki yıllarda (örn. 2026) aynı biçimde geçerliliğini koruyacağı garanti edilemez (concept drift riski). Bu durum, modelin statik biçimde tek seferlik eğitilip süresiz kullanılmasının uygun olmadığını, aksine dönemsel olarak (örn. yıllık) güncel verilerle, aynı sızıntısız protokolle (yalnızca eğitim+CV üzerinde hiperparametre araması, saklı dış test setinde tek seferlik doğrulama) yeniden eğitilmesi (re-fit) gerektiğini göstermektedir. Bu öneri, makalenin Sınırlamalar/Gelecek Çalışma bölümüne bir “Model İzleme ve Yeniden Eğitim Protokolü” alt başlığı olarak eklenmelidir.</w:t>
      </w:r>
    </w:p>
    <w:p>
      <w:pPr>
        <w:pStyle w:val="Heading2"/>
        <w:spacing w:after="150" w:before="300"/>
      </w:pPr>
      <w:r>
        <w:t xml:space="preserve">5. Veri Seti Sürekliliği ve Kohort Tanımı</w:t>
      </w:r>
    </w:p>
    <w:p>
      <w:pPr>
        <w:spacing w:after="150"/>
      </w:pPr>
      <w:r>
        <w:rPr>
          <w:b w:val="false"/>
          <w:bCs w:val="false"/>
          <w:i w:val="false"/>
          <w:iCs w:val="false"/>
        </w:rPr>
        <w:t xml:space="preserve">Bu çalışmadaki tüm analizler tek bir veri kaynağına dayanmaktadır: Kaggle “Medical Appointment No Shows” veri seti (Vitória, Espírito Santo, Brezilya). Kohort seçim akışı Şekil 1'de gösterilmiştir ve makalenin 3.1 Data Source and Cohort Selection bölümüne aynen yerleştirilmelidir; bu rakamlar makalenin tamamında (Yöntem, Bulgular, Şekiller) birebir tutarlı şekilde kullanılmalıdır.</w:t>
      </w:r>
    </w:p>
    <w:p>
      <w:pPr>
        <w:spacing w:after="100" w:before="200"/>
        <w:jc w:val="center"/>
      </w:pPr>
      <w:r>
        <w:drawing>
          <wp:inline distT="0" distB="0" distL="0" distR="0">
            <wp:extent cx="4095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3619500"/>
                    </a:xfrm>
                    <a:prstGeom prst="rect">
                      <a:avLst/>
                    </a:prstGeom>
                  </pic:spPr>
                </pic:pic>
              </a:graphicData>
            </a:graphic>
          </wp:inline>
        </w:drawing>
      </w:r>
    </w:p>
    <w:p>
      <w:pPr>
        <w:spacing w:after="150"/>
      </w:pPr>
      <w:r>
        <w:rPr>
          <w:b w:val="false"/>
          <w:bCs w:val="false"/>
          <w:i/>
          <w:iCs/>
        </w:rPr>
        <w:t xml:space="preserve">Şekil 1. Kohort Seçim Akış Şeması (Cohort Selection Flowchart).</w:t>
      </w:r>
    </w:p>
    <w:p>
      <w:pPr>
        <w:spacing w:after="150"/>
      </w:pPr>
      <w:r>
        <w:rPr>
          <w:b w:val="false"/>
          <w:bCs w:val="false"/>
          <w:i w:val="false"/>
          <w:iCs w:val="false"/>
        </w:rPr>
        <w:t xml:space="preserve">Tek bir coğrafi bölgeden elde edilen veriye dayanma sınırlaması, veri setini değiştirerek değil, Tartışma/Sınırlamalar bölümünde açıkça belirtilerek ele alınmıştır; bu, no-show tahmini literatüründeki yerleşik uygulamayla (Barrera Ferro ve ark., 2020; Hathaway ve ark., 2025; Liu ve ark., 2022 — hepsi tek-merkez/tek-bölge verisi kullanmıştır) tutarlıdır. Bağımsız bir ikinci veri setinde dış doğrulama, gelecek çalışma olarak önerilmektedir.</w:t>
      </w:r>
    </w:p>
    <w:p>
      <w:pPr>
        <w:pStyle w:val="Heading2"/>
        <w:spacing w:after="150" w:before="300"/>
      </w:pPr>
      <w:r>
        <w:t xml:space="preserve">6. Tekrarlanabilirlik (Reproducibility) Notu</w:t>
      </w:r>
    </w:p>
    <w:p>
      <w:pPr>
        <w:spacing w:after="150"/>
      </w:pPr>
      <w:r>
        <w:rPr>
          <w:b w:val="false"/>
          <w:bCs w:val="false"/>
          <w:i w:val="false"/>
          <w:iCs w:val="false"/>
        </w:rPr>
        <w:t xml:space="preserve">requirements.txt dosyasında kütüphaneler alt sınır (≥) olarak belirtilmiştir; bu, farklı bir sürümle çalıştırıldığında sonuçların (özellikle CatBoost/XGBoost/LightGBM'in stokastik iç süreçleri nedeniyle) küçük farklılıklar gösterebileceği anlamına gelir. Bu çalışmada fiilen kullanılan tam sürümler (Python 3.12.3 üzerinde) şu şekildedir: numpy 2.4.4, pandas 3.0.2, scikit-learn 1.8.0, imbalanced-learn 0.14.2, xgboost 3.3.0, lightgbm 4.7.0, catboost 1.2.10, shap 0.52.0, joblib 1.5.3, scipy 1.17.1. Bu tam sürüm listesi, makalenin Ek/Supplementary Material kısmında (requirements-lock.txt olarak) sunulmalıdır.</w:t>
      </w:r>
    </w:p>
    <w:p>
      <w:pPr>
        <w:spacing w:after="150"/>
      </w:pPr>
      <w:r>
        <w:rPr>
          <w:b w:val="false"/>
          <w:bCs w:val="false"/>
          <w:i w:val="false"/>
          <w:iCs w:val="false"/>
        </w:rPr>
        <w:t xml:space="preserve">Nihai model, yalnızca ham RandomForestClassifier nesnesi olarak değil; ICD frekans kodlama haritası, öznitelik sütun sırası ve sürüm bilgisiyle birlikte tek bir joblib paketi (.joblib dict) olarak kaydedilmiştir. Bu, resmi bir sklearn/imblearn Pipeline nesnesi değildir (champion modelde SMOTE/StandardScaler kullanılmadığı için buna gerek kalmamıştır), ancak aynı amaca hizmet eder: model tek başına değil, üretimde ihtiyaç duyulan tüm ön işleme bilgisiyle birlikte taşınabilir durumdadır. Kod ve model dosyalarının bir Zenodo/GitHub bağlantısıyla birlikte paylaşılması önerilir.</w:t>
      </w:r>
    </w:p>
    <w:p>
      <w:pPr>
        <w:spacing w:after="150"/>
      </w:pPr>
      <w:r>
        <w:rPr>
          <w:b w:val="false"/>
          <w:bCs w:val="false"/>
          <w:i/>
          <w:iCs/>
        </w:rPr>
        <w:t xml:space="preserve">SMOTE kullanımı yalnızca CV karşılaştırma (17. script) ve MLP (21/21b. script) analizlerinde, imbalanced-learn Pipeline nesnesi içine gömülü olarak uygulanmıştır — yani her çapraz doğrulama katında SMOTE yalnızca o katın eğitim bölümüne fit edilmiş, test fold'una ve saklı dış test setine asla sızdırılmamıştır.</w:t>
      </w:r>
    </w:p>
    <w:p>
      <w:pPr>
        <w:spacing w:after="150"/>
      </w:pPr>
      <w:r>
        <w:rPr>
          <w:b w:val="false"/>
          <w:bCs w:val="false"/>
          <w:i w:val="false"/>
          <w:iCs w:val="false"/>
        </w:rPr>
        <w:t xml:space="preserve">“Yalnızca düz SMOTE denenmiş, temizlenmiş varyantlar denenmemiş” eksikliğini gidermek için, optimize edilmiş şampiyon modelin hiperparametreleriyle (n_estimators=300, max_depth=25, min_samples_leaf=2, min_samples_split=5, max_features=0,4) dört farklı dengesizlik giderme stratejisi — düz SMOTE, Borderline-SMOTE (sınır bölgesi odaklı), SMOTETomek (SMOTE+Tomek Links temizliği) ve SMOTEENN (SMOTE+Edited Nearest Neighbours temizliği) — sadece eğitim seti üzerinde 5 katlı Stratified CV ile karşılaştırılmıştır: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40"/>
        <w:gridCol w:w="1870"/>
        <w:gridCol w:w="1870"/>
        <w:gridCol w:w="1870"/>
      </w:tblGrid>
      <w:tr>
        <w:trPr>
          <w:tblHeader/>
        </w:trPr>
        <w:tc>
          <w:tcPr>
            <w:tcW w:type="dxa" w:w="3740"/>
            <w:shd w:fill="2F5496" w:val="clear"/>
            <w:tcMar>
              <w:top w:type="dxa" w:w="80"/>
              <w:left w:type="dxa" w:w="120"/>
              <w:bottom w:type="dxa" w:w="80"/>
              <w:right w:type="dxa" w:w="120"/>
            </w:tcMar>
          </w:tcPr>
          <w:p>
            <w:pPr>
              <w:jc w:val="center"/>
            </w:pPr>
            <w:r>
              <w:rPr>
                <w:b/>
                <w:bCs/>
                <w:color w:val="FFFFFF"/>
                <w:sz w:val="20"/>
                <w:szCs w:val="20"/>
              </w:rPr>
              <w:t xml:space="preserve">Strateji</w:t>
            </w:r>
          </w:p>
        </w:tc>
        <w:tc>
          <w:tcPr>
            <w:tcW w:type="dxa" w:w="1870"/>
            <w:shd w:fill="2F5496" w:val="clear"/>
            <w:tcMar>
              <w:top w:type="dxa" w:w="80"/>
              <w:left w:type="dxa" w:w="120"/>
              <w:bottom w:type="dxa" w:w="80"/>
              <w:right w:type="dxa" w:w="120"/>
            </w:tcMar>
          </w:tcPr>
          <w:p>
            <w:pPr>
              <w:jc w:val="center"/>
            </w:pPr>
            <w:r>
              <w:rPr>
                <w:b/>
                <w:bCs/>
                <w:color w:val="FFFFFF"/>
                <w:sz w:val="20"/>
                <w:szCs w:val="20"/>
              </w:rPr>
              <w:t xml:space="preserve">CV ROC-AUC</w:t>
            </w:r>
          </w:p>
        </w:tc>
        <w:tc>
          <w:tcPr>
            <w:tcW w:type="dxa" w:w="1870"/>
            <w:shd w:fill="2F5496" w:val="clear"/>
            <w:tcMar>
              <w:top w:type="dxa" w:w="80"/>
              <w:left w:type="dxa" w:w="120"/>
              <w:bottom w:type="dxa" w:w="80"/>
              <w:right w:type="dxa" w:w="120"/>
            </w:tcMar>
          </w:tcPr>
          <w:p>
            <w:pPr>
              <w:jc w:val="center"/>
            </w:pPr>
            <w:r>
              <w:rPr>
                <w:b/>
                <w:bCs/>
                <w:color w:val="FFFFFF"/>
                <w:sz w:val="20"/>
                <w:szCs w:val="20"/>
              </w:rPr>
              <w:t xml:space="preserve">CV PR-AUC</w:t>
            </w:r>
          </w:p>
        </w:tc>
        <w:tc>
          <w:tcPr>
            <w:tcW w:type="dxa" w:w="1870"/>
            <w:shd w:fill="2F5496" w:val="clear"/>
            <w:tcMar>
              <w:top w:type="dxa" w:w="80"/>
              <w:left w:type="dxa" w:w="120"/>
              <w:bottom w:type="dxa" w:w="80"/>
              <w:right w:type="dxa" w:w="120"/>
            </w:tcMar>
          </w:tcPr>
          <w:p>
            <w:pPr>
              <w:jc w:val="center"/>
            </w:pPr>
            <w:r>
              <w:rPr>
                <w:b/>
                <w:bCs/>
                <w:color w:val="FFFFFF"/>
                <w:sz w:val="20"/>
                <w:szCs w:val="20"/>
              </w:rPr>
              <w:t xml:space="preserve">CV Brier</w:t>
            </w:r>
          </w:p>
        </w:tc>
      </w:tr>
      <w:tr>
        <w:tc>
          <w:tcPr>
            <w:tcW w:type="dxa" w:w="3740"/>
            <w:tcMar>
              <w:top w:type="dxa" w:w="80"/>
              <w:left w:type="dxa" w:w="120"/>
              <w:bottom w:type="dxa" w:w="80"/>
              <w:right w:type="dxa" w:w="120"/>
            </w:tcMar>
          </w:tcPr>
          <w:p>
            <w:pPr>
              <w:jc w:val="left"/>
            </w:pPr>
            <w:r>
              <w:rPr>
                <w:b w:val="false"/>
                <w:bCs w:val="false"/>
                <w:color w:val="000000"/>
                <w:sz w:val="20"/>
                <w:szCs w:val="20"/>
              </w:rPr>
              <w:t xml:space="preserve">Dengeleme Yok (Mevcut Şampiyon)</w:t>
            </w:r>
          </w:p>
        </w:tc>
        <w:tc>
          <w:tcPr>
            <w:tcW w:type="dxa" w:w="1870"/>
            <w:tcMar>
              <w:top w:type="dxa" w:w="80"/>
              <w:left w:type="dxa" w:w="120"/>
              <w:bottom w:type="dxa" w:w="80"/>
              <w:right w:type="dxa" w:w="120"/>
            </w:tcMar>
          </w:tcPr>
          <w:p>
            <w:pPr>
              <w:jc w:val="center"/>
            </w:pPr>
            <w:r>
              <w:rPr>
                <w:b w:val="false"/>
                <w:bCs w:val="false"/>
                <w:color w:val="000000"/>
                <w:sz w:val="20"/>
                <w:szCs w:val="20"/>
              </w:rPr>
              <w:t xml:space="preserve">0,7841</w:t>
            </w:r>
          </w:p>
        </w:tc>
        <w:tc>
          <w:tcPr>
            <w:tcW w:type="dxa" w:w="1870"/>
            <w:tcMar>
              <w:top w:type="dxa" w:w="80"/>
              <w:left w:type="dxa" w:w="120"/>
              <w:bottom w:type="dxa" w:w="80"/>
              <w:right w:type="dxa" w:w="120"/>
            </w:tcMar>
          </w:tcPr>
          <w:p>
            <w:pPr>
              <w:jc w:val="center"/>
            </w:pPr>
            <w:r>
              <w:rPr>
                <w:b w:val="false"/>
                <w:bCs w:val="false"/>
                <w:color w:val="000000"/>
                <w:sz w:val="20"/>
                <w:szCs w:val="20"/>
              </w:rPr>
              <w:t xml:space="preserve">0,3795</w:t>
            </w:r>
          </w:p>
        </w:tc>
        <w:tc>
          <w:tcPr>
            <w:tcW w:type="dxa" w:w="1870"/>
            <w:tcMar>
              <w:top w:type="dxa" w:w="80"/>
              <w:left w:type="dxa" w:w="120"/>
              <w:bottom w:type="dxa" w:w="80"/>
              <w:right w:type="dxa" w:w="120"/>
            </w:tcMar>
          </w:tcPr>
          <w:p>
            <w:pPr>
              <w:jc w:val="center"/>
            </w:pPr>
            <w:r>
              <w:rPr>
                <w:b w:val="false"/>
                <w:bCs w:val="false"/>
                <w:color w:val="000000"/>
                <w:sz w:val="20"/>
                <w:szCs w:val="20"/>
              </w:rPr>
              <w:t xml:space="preserve">0,0760</w:t>
            </w:r>
          </w:p>
        </w:tc>
      </w:tr>
      <w:tr>
        <w:tc>
          <w:tcPr>
            <w:tcW w:type="dxa" w:w="3740"/>
            <w:tcMar>
              <w:top w:type="dxa" w:w="80"/>
              <w:left w:type="dxa" w:w="120"/>
              <w:bottom w:type="dxa" w:w="80"/>
              <w:right w:type="dxa" w:w="120"/>
            </w:tcMar>
          </w:tcPr>
          <w:p>
            <w:pPr>
              <w:jc w:val="left"/>
            </w:pPr>
            <w:r>
              <w:rPr>
                <w:b w:val="false"/>
                <w:bCs w:val="false"/>
                <w:color w:val="000000"/>
                <w:sz w:val="20"/>
                <w:szCs w:val="20"/>
              </w:rPr>
              <w:t xml:space="preserve">SMOTEENN</w:t>
            </w:r>
          </w:p>
        </w:tc>
        <w:tc>
          <w:tcPr>
            <w:tcW w:type="dxa" w:w="1870"/>
            <w:tcMar>
              <w:top w:type="dxa" w:w="80"/>
              <w:left w:type="dxa" w:w="120"/>
              <w:bottom w:type="dxa" w:w="80"/>
              <w:right w:type="dxa" w:w="120"/>
            </w:tcMar>
          </w:tcPr>
          <w:p>
            <w:pPr>
              <w:jc w:val="center"/>
            </w:pPr>
            <w:r>
              <w:rPr>
                <w:b w:val="false"/>
                <w:bCs w:val="false"/>
                <w:color w:val="000000"/>
                <w:sz w:val="20"/>
                <w:szCs w:val="20"/>
              </w:rPr>
              <w:t xml:space="preserve">0,7152</w:t>
            </w:r>
          </w:p>
        </w:tc>
        <w:tc>
          <w:tcPr>
            <w:tcW w:type="dxa" w:w="1870"/>
            <w:tcMar>
              <w:top w:type="dxa" w:w="80"/>
              <w:left w:type="dxa" w:w="120"/>
              <w:bottom w:type="dxa" w:w="80"/>
              <w:right w:type="dxa" w:w="120"/>
            </w:tcMar>
          </w:tcPr>
          <w:p>
            <w:pPr>
              <w:jc w:val="center"/>
            </w:pPr>
            <w:r>
              <w:rPr>
                <w:b w:val="false"/>
                <w:bCs w:val="false"/>
                <w:color w:val="000000"/>
                <w:sz w:val="20"/>
                <w:szCs w:val="20"/>
              </w:rPr>
              <w:t xml:space="preserve">0,2180</w:t>
            </w:r>
          </w:p>
        </w:tc>
        <w:tc>
          <w:tcPr>
            <w:tcW w:type="dxa" w:w="1870"/>
            <w:tcMar>
              <w:top w:type="dxa" w:w="80"/>
              <w:left w:type="dxa" w:w="120"/>
              <w:bottom w:type="dxa" w:w="80"/>
              <w:right w:type="dxa" w:w="120"/>
            </w:tcMar>
          </w:tcPr>
          <w:p>
            <w:pPr>
              <w:jc w:val="center"/>
            </w:pPr>
            <w:r>
              <w:rPr>
                <w:b w:val="false"/>
                <w:bCs w:val="false"/>
                <w:color w:val="000000"/>
                <w:sz w:val="20"/>
                <w:szCs w:val="20"/>
              </w:rPr>
              <w:t xml:space="preserve">0,0985</w:t>
            </w:r>
          </w:p>
        </w:tc>
      </w:tr>
      <w:tr>
        <w:tc>
          <w:tcPr>
            <w:tcW w:type="dxa" w:w="3740"/>
            <w:tcMar>
              <w:top w:type="dxa" w:w="80"/>
              <w:left w:type="dxa" w:w="120"/>
              <w:bottom w:type="dxa" w:w="80"/>
              <w:right w:type="dxa" w:w="120"/>
            </w:tcMar>
          </w:tcPr>
          <w:p>
            <w:pPr>
              <w:jc w:val="left"/>
            </w:pPr>
            <w:r>
              <w:rPr>
                <w:b w:val="false"/>
                <w:bCs w:val="false"/>
                <w:color w:val="000000"/>
                <w:sz w:val="20"/>
                <w:szCs w:val="20"/>
              </w:rPr>
              <w:t xml:space="preserve">Borderline-SMOTE</w:t>
            </w:r>
          </w:p>
        </w:tc>
        <w:tc>
          <w:tcPr>
            <w:tcW w:type="dxa" w:w="1870"/>
            <w:tcMar>
              <w:top w:type="dxa" w:w="80"/>
              <w:left w:type="dxa" w:w="120"/>
              <w:bottom w:type="dxa" w:w="80"/>
              <w:right w:type="dxa" w:w="120"/>
            </w:tcMar>
          </w:tcPr>
          <w:p>
            <w:pPr>
              <w:jc w:val="center"/>
            </w:pPr>
            <w:r>
              <w:rPr>
                <w:b w:val="false"/>
                <w:bCs w:val="false"/>
                <w:color w:val="000000"/>
                <w:sz w:val="20"/>
                <w:szCs w:val="20"/>
              </w:rPr>
              <w:t xml:space="preserve">0,7148</w:t>
            </w:r>
          </w:p>
        </w:tc>
        <w:tc>
          <w:tcPr>
            <w:tcW w:type="dxa" w:w="1870"/>
            <w:tcMar>
              <w:top w:type="dxa" w:w="80"/>
              <w:left w:type="dxa" w:w="120"/>
              <w:bottom w:type="dxa" w:w="80"/>
              <w:right w:type="dxa" w:w="120"/>
            </w:tcMar>
          </w:tcPr>
          <w:p>
            <w:pPr>
              <w:jc w:val="center"/>
            </w:pPr>
            <w:r>
              <w:rPr>
                <w:b w:val="false"/>
                <w:bCs w:val="false"/>
                <w:color w:val="000000"/>
                <w:sz w:val="20"/>
                <w:szCs w:val="20"/>
              </w:rPr>
              <w:t xml:space="preserve">0,2296</w:t>
            </w:r>
          </w:p>
        </w:tc>
        <w:tc>
          <w:tcPr>
            <w:tcW w:type="dxa" w:w="1870"/>
            <w:tcMar>
              <w:top w:type="dxa" w:w="80"/>
              <w:left w:type="dxa" w:w="120"/>
              <w:bottom w:type="dxa" w:w="80"/>
              <w:right w:type="dxa" w:w="120"/>
            </w:tcMar>
          </w:tcPr>
          <w:p>
            <w:pPr>
              <w:jc w:val="center"/>
            </w:pPr>
            <w:r>
              <w:rPr>
                <w:b w:val="false"/>
                <w:bCs w:val="false"/>
                <w:color w:val="000000"/>
                <w:sz w:val="20"/>
                <w:szCs w:val="20"/>
              </w:rPr>
              <w:t xml:space="preserve">0,0872</w:t>
            </w:r>
          </w:p>
        </w:tc>
      </w:tr>
      <w:tr>
        <w:tc>
          <w:tcPr>
            <w:tcW w:type="dxa" w:w="3740"/>
            <w:tcMar>
              <w:top w:type="dxa" w:w="80"/>
              <w:left w:type="dxa" w:w="120"/>
              <w:bottom w:type="dxa" w:w="80"/>
              <w:right w:type="dxa" w:w="120"/>
            </w:tcMar>
          </w:tcPr>
          <w:p>
            <w:pPr>
              <w:jc w:val="left"/>
            </w:pPr>
            <w:r>
              <w:rPr>
                <w:b w:val="false"/>
                <w:bCs w:val="false"/>
                <w:color w:val="000000"/>
                <w:sz w:val="20"/>
                <w:szCs w:val="20"/>
              </w:rPr>
              <w:t xml:space="preserve">SMOTETomek</w:t>
            </w:r>
          </w:p>
        </w:tc>
        <w:tc>
          <w:tcPr>
            <w:tcW w:type="dxa" w:w="1870"/>
            <w:tcMar>
              <w:top w:type="dxa" w:w="80"/>
              <w:left w:type="dxa" w:w="120"/>
              <w:bottom w:type="dxa" w:w="80"/>
              <w:right w:type="dxa" w:w="120"/>
            </w:tcMar>
          </w:tcPr>
          <w:p>
            <w:pPr>
              <w:jc w:val="center"/>
            </w:pPr>
            <w:r>
              <w:rPr>
                <w:b w:val="false"/>
                <w:bCs w:val="false"/>
                <w:color w:val="000000"/>
                <w:sz w:val="20"/>
                <w:szCs w:val="20"/>
              </w:rPr>
              <w:t xml:space="preserve">0,7139</w:t>
            </w:r>
          </w:p>
        </w:tc>
        <w:tc>
          <w:tcPr>
            <w:tcW w:type="dxa" w:w="1870"/>
            <w:tcMar>
              <w:top w:type="dxa" w:w="80"/>
              <w:left w:type="dxa" w:w="120"/>
              <w:bottom w:type="dxa" w:w="80"/>
              <w:right w:type="dxa" w:w="120"/>
            </w:tcMar>
          </w:tcPr>
          <w:p>
            <w:pPr>
              <w:jc w:val="center"/>
            </w:pPr>
            <w:r>
              <w:rPr>
                <w:b w:val="false"/>
                <w:bCs w:val="false"/>
                <w:color w:val="000000"/>
                <w:sz w:val="20"/>
                <w:szCs w:val="20"/>
              </w:rPr>
              <w:t xml:space="preserve">0,2303</w:t>
            </w:r>
          </w:p>
        </w:tc>
        <w:tc>
          <w:tcPr>
            <w:tcW w:type="dxa" w:w="1870"/>
            <w:tcMar>
              <w:top w:type="dxa" w:w="80"/>
              <w:left w:type="dxa" w:w="120"/>
              <w:bottom w:type="dxa" w:w="80"/>
              <w:right w:type="dxa" w:w="120"/>
            </w:tcMar>
          </w:tcPr>
          <w:p>
            <w:pPr>
              <w:jc w:val="center"/>
            </w:pPr>
            <w:r>
              <w:rPr>
                <w:b w:val="false"/>
                <w:bCs w:val="false"/>
                <w:color w:val="000000"/>
                <w:sz w:val="20"/>
                <w:szCs w:val="20"/>
              </w:rPr>
              <w:t xml:space="preserve">0,0871</w:t>
            </w:r>
          </w:p>
        </w:tc>
      </w:tr>
      <w:tr>
        <w:tc>
          <w:tcPr>
            <w:tcW w:type="dxa" w:w="3740"/>
            <w:tcMar>
              <w:top w:type="dxa" w:w="80"/>
              <w:left w:type="dxa" w:w="120"/>
              <w:bottom w:type="dxa" w:w="80"/>
              <w:right w:type="dxa" w:w="120"/>
            </w:tcMar>
          </w:tcPr>
          <w:p>
            <w:pPr>
              <w:jc w:val="left"/>
            </w:pPr>
            <w:r>
              <w:rPr>
                <w:b w:val="false"/>
                <w:bCs w:val="false"/>
                <w:color w:val="000000"/>
                <w:sz w:val="20"/>
                <w:szCs w:val="20"/>
              </w:rPr>
              <w:t xml:space="preserve">Düz SMOTE</w:t>
            </w:r>
          </w:p>
        </w:tc>
        <w:tc>
          <w:tcPr>
            <w:tcW w:type="dxa" w:w="1870"/>
            <w:tcMar>
              <w:top w:type="dxa" w:w="80"/>
              <w:left w:type="dxa" w:w="120"/>
              <w:bottom w:type="dxa" w:w="80"/>
              <w:right w:type="dxa" w:w="120"/>
            </w:tcMar>
          </w:tcPr>
          <w:p>
            <w:pPr>
              <w:jc w:val="center"/>
            </w:pPr>
            <w:r>
              <w:rPr>
                <w:b w:val="false"/>
                <w:bCs w:val="false"/>
                <w:color w:val="000000"/>
                <w:sz w:val="20"/>
                <w:szCs w:val="20"/>
              </w:rPr>
              <w:t xml:space="preserve">0,7138</w:t>
            </w:r>
          </w:p>
        </w:tc>
        <w:tc>
          <w:tcPr>
            <w:tcW w:type="dxa" w:w="1870"/>
            <w:tcMar>
              <w:top w:type="dxa" w:w="80"/>
              <w:left w:type="dxa" w:w="120"/>
              <w:bottom w:type="dxa" w:w="80"/>
              <w:right w:type="dxa" w:w="120"/>
            </w:tcMar>
          </w:tcPr>
          <w:p>
            <w:pPr>
              <w:jc w:val="center"/>
            </w:pPr>
            <w:r>
              <w:rPr>
                <w:b w:val="false"/>
                <w:bCs w:val="false"/>
                <w:color w:val="000000"/>
                <w:sz w:val="20"/>
                <w:szCs w:val="20"/>
              </w:rPr>
              <w:t xml:space="preserve">0,2300</w:t>
            </w:r>
          </w:p>
        </w:tc>
        <w:tc>
          <w:tcPr>
            <w:tcW w:type="dxa" w:w="1870"/>
            <w:tcMar>
              <w:top w:type="dxa" w:w="80"/>
              <w:left w:type="dxa" w:w="120"/>
              <w:bottom w:type="dxa" w:w="80"/>
              <w:right w:type="dxa" w:w="120"/>
            </w:tcMar>
          </w:tcPr>
          <w:p>
            <w:pPr>
              <w:jc w:val="center"/>
            </w:pPr>
            <w:r>
              <w:rPr>
                <w:b w:val="false"/>
                <w:bCs w:val="false"/>
                <w:color w:val="000000"/>
                <w:sz w:val="20"/>
                <w:szCs w:val="20"/>
              </w:rPr>
              <w:t xml:space="preserve">0,0871</w:t>
            </w:r>
          </w:p>
        </w:tc>
      </w:tr>
    </w:tbl>
    <w:p>
      <w:pPr>
        <w:spacing w:after="150"/>
      </w:pPr>
      <w:r>
        <w:rPr>
          <w:b w:val="false"/>
          <w:bCs w:val="false"/>
          <w:i/>
          <w:iCs/>
        </w:rPr>
        <w:t xml:space="preserve">Sonuç kesindir: gelişmiş temizlenmiş varyantlar (Borderline-SMOTE, SMOTETomek, SMOTEENN) dahil olmak üzere dört stratejinin de dengeleme yapılmamış mevcut yaklaşımdan daha kötü performans gösterdiği, üç metrikte de (ROC-AUC, PR-AUC, Brier) tutarlı biçimde doğrulanmıştır; en “sofistike” yöntem olan SMOTEENN en kötü Brier skorunu (0,0985) üretmiştir. Bu, önceki bulgumuzu (class_weight=“balanced” kullanımının kalibrasyonu bozması) daha geniş bir yeniden örnekleme stratejisi kümesine genellemektedir: bu veri setinde ve model mimarisinde, sınıf dağılımını yapay olarak dengelemeye çalışan her yaklaşım (basit veya temizlenmiş), modelin doğal dengesiz dağılımdan öğrendiği kalibre olasılık kalitesini bozmaktadır. Bu nedenle, dengeleme yapılmaması, bir eksiklik değil, dört alternatifin sistematik olarak test edilip elenmesi sonucu ampirik olarak doğrulanmış bir tasarım kararıdır.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55954f3604c2e45e5834687608f1587906437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2026-08-01T16:56:51.828Z</dcterms:created>
  <dcterms:modified xsi:type="dcterms:W3CDTF">2026-08-01T16:56:51.838Z</dcterms:modified>
</cp:coreProperties>
</file>

<file path=docProps/custom.xml><?xml version="1.0" encoding="utf-8"?>
<Properties xmlns="http://schemas.openxmlformats.org/officeDocument/2006/custom-properties" xmlns:vt="http://schemas.openxmlformats.org/officeDocument/2006/docPropsVTypes"/>
</file>