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pPr>
        <w:jc w:val="center"/>
        <w:spacing w:after="0" w:before="120.09599999999999"/>
        <w:ind w:left="1000.8" w:right="0"/>
      </w:pPr>
      <w:r>
        <w:rPr>
          <w:b w:val="true"/>
          <w:color w:val="0f4880"/>
          <w:sz w:val="48"/>
          <w:szCs w:val="48"/>
        </w:rPr>
        <w:t>UAV Flight Control System</w:t>
      </w:r>
    </w:p>
    <w:p>
      <w:pPr>
        <w:jc w:val="center"/>
      </w:pPr>
      <w:r>
        <w:rPr>
          <w:color w:val="333333"/>
          <w:sz w:val="30"/>
          <w:szCs w:val="30"/>
        </w:rPr>
        <w:t>Software Design Document</w:t>
      </w:r>
    </w:p>
    <w:p>
      <w:pPr>
        <w:jc w:val="center"/>
      </w:pPr>
      <w:r>
        <w:rPr>
          <w:color w:val="555555"/>
          <w:sz w:val="20"/>
          <w:szCs w:val="20"/>
        </w:rPr>
        <w:t>Version: 1.0   |   Classification: UNCLASSIFIED</w:t>
      </w:r>
    </w:p>
    <w:p>
      <w:pPr>
        <w:jc w:val="center"/>
      </w:pPr>
      <w:r>
        <w:rPr>
          <w:color w:val="555555"/>
          <w:sz w:val="20"/>
          <w:szCs w:val="20"/>
        </w:rPr>
        <w:t>Date: 2026-05-15</w:t>
      </w:r>
    </w:p>
    <w:p>
      <w:pPr>
        <w:jc w:val="center"/>
      </w:pPr>
      <w:r>
        <w:rPr>
          <w:color w:val="555555"/>
          <w:sz w:val="20"/>
          <w:szCs w:val="20"/>
        </w:rPr>
        <w:t>Project: VerificationBasedMBSE</w:t>
      </w:r>
    </w:p>
    <w:p>
      <w:pPr>
        <w:jc w:val="center"/>
      </w:pPr>
      <w:r>
        <w:rPr>
          <w:color w:val="555555"/>
          <w:sz w:val="20"/>
          <w:szCs w:val="20"/>
        </w:rPr>
        <w:t>DO-178C Aligned</w:t>
      </w:r>
    </w:p>
    <w:p>
      <w:r>
        <w:br w:type="page"/>
      </w:r>
    </w:p>
    <w:p>
      <w:pPr>
        <w:spacing w:after="0" w:before="80.063999999999993"/>
        <w:ind w:left="200.16" w:right="0"/>
      </w:pPr>
      <w:r>
        <w:rPr>
          <w:b w:val="true"/>
          <w:color w:val="0f4880"/>
          <w:sz w:val="30"/>
          <w:szCs w:val="30"/>
        </w:rPr>
        <w:t>1  Purpose and Scope</w:t>
      </w:r>
    </w:p>
    <w:p>
      <w:r>
        <w:t>This document describes the software design of the UAV Flight Control System developed using Model-Based Design in MATLAB/Simulink R2026a, covering requirements traceability, architecture, detailed design, and verification approach per DO-178C objectives.</w:t>
      </w:r>
    </w:p>
    <w:p>
      <w:r>
        <w:t>Three variant configurations: Nominal_MAVLink, Adversarial_MAVLink, Custom_NoThreat. Variant switching via setVariantConfig(configName) using QuadData.sldd entries varComms/varThreat.</w:t>
      </w:r>
    </w:p>
    <w:p>
      <w:pPr>
        <w:spacing w:after="0" w:before="80.063999999999993"/>
        <w:ind w:left="200.16" w:right="0"/>
      </w:pPr>
      <w:r>
        <w:rPr>
          <w:b w:val="true"/>
          <w:color w:val="0f4880"/>
          <w:sz w:val="30"/>
          <w:szCs w:val="30"/>
        </w:rPr>
        <w:t>2  System Overview</w:t>
      </w:r>
    </w:p>
    <w:tbl>
      <w:tblPr>
        <w:tblW w:type="pct" w:w="400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</w:tblPr>
      <w:tr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Parameter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Value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MATLAB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R2026a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Simulink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R2026a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Report Generator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v26.1 (R2026a)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ERT Target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ert.tlc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Solver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Fixed-step Ts=0.01s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Project Path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C:/UAV/VerificationBasedMBSE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Date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2026-05-15</w:t>
            </w:r>
          </w:p>
        </w:tc>
      </w:tr>
    </w:tbl>
    <w:p>
      <w:pPr>
        <w:spacing w:after="0" w:before="80.063999999999993"/>
        <w:ind w:left="200.16" w:right="0"/>
      </w:pPr>
      <w:r>
        <w:rPr>
          <w:b w:val="true"/>
          <w:color w:val="0f4880"/>
          <w:sz w:val="30"/>
          <w:szCs w:val="30"/>
        </w:rPr>
        <w:t>3  Requirements Traceability</w:t>
      </w:r>
    </w:p>
    <w:tbl>
      <w:tblPr>
        <w:tblW w:type="pct" w:w="500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</w:tblPr>
      <w:tr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Requirement Set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Total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Linked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Coverage %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variant_comms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3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3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SecurityRequirement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SystemRequirements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30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25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83%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conops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17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11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65%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gcs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3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2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67%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uav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26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18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69%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TOTAL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80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60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75%</w:t>
            </w:r>
          </w:p>
        </w:tc>
      </w:tr>
    </w:tbl>
    <w:p>
      <w:r>
        <w:t>Note: variant_comms.slreqx (3 reqs, 100% linked) added Phase 10 for variant-specific requirements.</w:t>
      </w:r>
    </w:p>
    <w:p>
      <w:pPr>
        <w:spacing w:after="0" w:before="80.063999999999993"/>
        <w:ind w:left="200.16" w:right="0"/>
      </w:pPr>
      <w:r>
        <w:rPr>
          <w:b w:val="true"/>
          <w:color w:val="0f4880"/>
          <w:sz w:val="30"/>
          <w:szCs w:val="30"/>
        </w:rPr>
        <w:t>4  Architecture Description</w:t>
      </w:r>
    </w:p>
    <w:tbl>
      <w:tblPr>
        <w:tblW w:type="pct" w:w="500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</w:tblPr>
      <w:tr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Component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Description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Severity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RPN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Mitigation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AirVehicle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UAV dynamics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9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108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Implemented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FCS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PID+GuidanceCompute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8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48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Implemented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GroundControlStation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GCS interface (variant)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6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120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In Progress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Visualization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Telemetry display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4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72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Accepted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Threat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Signal snooping (variant)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7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--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Conditional</w:t>
            </w:r>
          </w:p>
        </w:tc>
      </w:tr>
    </w:tbl>
    <w:p>
      <w:pPr>
        <w:spacing w:after="0" w:before="60.047999999999995"/>
        <w:ind w:left="160.12799999999999" w:right="0"/>
      </w:pPr>
      <w:r>
        <w:rPr>
          <w:b w:val="true"/>
          <w:sz w:val="22"/>
          <w:szCs w:val="22"/>
        </w:rPr>
        <w:t>Variant Configurations</w:t>
      </w:r>
    </w:p>
    <w:tbl>
      <w:tblPr>
        <w:tblW w:type="pct" w:w="500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</w:tblPr>
      <w:tr>
        <w:tc>
          <w:tcPr>
            <w:shd w:color="auto" w:fill="1a6eb5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shd w:color="auto" w:fill="1a6eb5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varComms</w:t>
            </w:r>
          </w:p>
        </w:tc>
        <w:tc>
          <w:tcPr>
            <w:shd w:color="auto" w:fill="1a6eb5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varThreat</w:t>
            </w:r>
          </w:p>
        </w:tc>
        <w:tc>
          <w:tcPr>
            <w:shd w:color="auto" w:fill="1a6eb5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Active Components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Nominal_MAVLink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0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CommsInMAV, GCSMAVLink, NoThreat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Adversarial_MAVLink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CommsInMAV, GCSMAVLink, ThreatMAV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Custom_NoThreat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0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0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CommsInCustom, GCSCustom, NoThreat</w:t>
            </w:r>
          </w:p>
        </w:tc>
      </w:tr>
    </w:tbl>
    <w:p>
      <w:pPr>
        <w:spacing w:after="0" w:before="80.063999999999993"/>
        <w:ind w:left="200.16" w:right="0"/>
      </w:pPr>
      <w:r>
        <w:rPr>
          <w:b w:val="true"/>
          <w:color w:val="0f4880"/>
          <w:sz w:val="30"/>
          <w:szCs w:val="30"/>
        </w:rPr>
        <w:t>5  Detailed Design</w:t>
      </w:r>
    </w:p>
    <w:tbl>
      <w:tblPr>
        <w:tblW w:type="pct" w:w="500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</w:tblPr>
      <w:tr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Subsystem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Description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Key Parameters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GuidanceCompute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Stateflow: WP proximity + NearWP/WPachieved states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waypoints[5x3], ts_uav=0.01s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HealthMonitor/FaultDetector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MATLAB Fn: 4-output anomaly detection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Thrust&gt;2.0, NaN pos, Mode&gt;3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PID_Loops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Altitude+attitude PID controllers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Kp=0.8, Ki=0.1, Kd=0.05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Multiport Switch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Mode-based control law selector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Mode=uint8(1..3)</w:t>
            </w:r>
          </w:p>
        </w:tc>
      </w:tr>
    </w:tbl>
    <w:p>
      <w:pPr>
        <w:spacing w:after="0" w:before="80.063999999999993"/>
        <w:ind w:left="200.16" w:right="0"/>
      </w:pPr>
      <w:r>
        <w:rPr>
          <w:b w:val="true"/>
          <w:color w:val="0f4880"/>
          <w:sz w:val="30"/>
          <w:szCs w:val="30"/>
        </w:rPr>
        <w:t>6  Interface Definitions</w:t>
      </w:r>
    </w:p>
    <w:p>
      <w:r>
        <w:t>Bus objects from QuadData.sldd (first 4 elements per bus):</w:t>
      </w:r>
    </w:p>
    <w:tbl>
      <w:tblPr>
        <w:tblW w:type="pct" w:w="500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</w:tblPr>
      <w:tr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Bus Name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Elements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Types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MultirotorGuidanceControlBus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Roll, Pitch, YawRate, Thrust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double, double, double, double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MultirotorGuidanceEnvironmentBus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Gravity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double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MultirotorGuidanceStateBus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WorldPosition, WorldVelocity, EulerZYX, BodyAngularRateRPY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double, double, double, double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Cmds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Takeoff, Land, EmergencyOff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boolean, boolean, boolean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Telemetry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MAVMsg, CustomMsg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uint8, uint8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GCSCmds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MAVMsg, CustomMsg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uint8, uint8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GuidanceRelPosBus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RelPosX, RelPosY, RelPosZ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double, double, double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FaultFlagsBus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ThrustAnomaly, ModeAnomaly, PositionAnomaly, AnyFault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boolean, boolean, boolean, boolean</w:t>
            </w:r>
          </w:p>
        </w:tc>
      </w:tr>
    </w:tbl>
    <w:p>
      <w:pPr>
        <w:spacing w:after="0" w:before="80.063999999999993"/>
        <w:ind w:left="200.16" w:right="0"/>
      </w:pPr>
      <w:r>
        <w:rPr>
          <w:b w:val="true"/>
          <w:color w:val="0f4880"/>
          <w:sz w:val="30"/>
          <w:szCs w:val="30"/>
        </w:rPr>
        <w:t>7  Verification Approach</w:t>
      </w:r>
    </w:p>
    <w:p>
      <w:r>
        <w:t>Simulink Test Manager + Gherkin test cases + SDV formal proof + Decision/Condition/MCDC coverage measurement.</w:t>
      </w:r>
    </w:p>
    <w:tbl>
      <w:tblPr>
        <w:tblW w:type="pct" w:w="500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</w:tblPr>
      <w:tr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Suite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Test Cases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Status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FCS Communications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2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Pass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Autonomous Flight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Pass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Flight Control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Pass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Guidance Verification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Pass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AirVehicle Verification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Pass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Fault Injection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2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Pass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SDV_MCDC_AutoGenerated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4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Pass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Coverage_Gaps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5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Pass</w:t>
            </w:r>
          </w:p>
        </w:tc>
      </w:tr>
    </w:tbl>
    <w:p>
      <w:pPr>
        <w:spacing w:after="0" w:before="80.063999999999993"/>
        <w:ind w:left="200.16" w:right="0"/>
      </w:pPr>
      <w:r>
        <w:rPr>
          <w:b w:val="true"/>
          <w:color w:val="0f4880"/>
          <w:sz w:val="30"/>
          <w:szCs w:val="30"/>
        </w:rPr>
        <w:t>8  Coverage Summary</w:t>
      </w:r>
    </w:p>
    <w:tbl>
      <w:tblPr>
        <w:tblW w:type="pct" w:w="500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</w:tblPr>
      <w:tr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Metric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Phase 7 Baseline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Final (11 runs)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Target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Status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Decision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33%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93% (14/15)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85%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MET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Condition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71%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MET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MCDC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43%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MET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Execution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--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MET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Chart Decision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0%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 (9/9)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100%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MET</w:t>
            </w:r>
          </w:p>
        </w:tc>
      </w:tr>
    </w:tbl>
    <w:p>
      <w:pPr>
        <w:spacing w:after="0" w:before="80.063999999999993"/>
        <w:ind w:left="200.16" w:right="0"/>
      </w:pPr>
      <w:r>
        <w:rPr>
          <w:b w:val="true"/>
          <w:color w:val="0f4880"/>
          <w:sz w:val="30"/>
          <w:szCs w:val="30"/>
        </w:rPr>
        <w:t>9  Open Issues</w:t>
      </w:r>
    </w:p>
    <w:p>
      <w:r>
        <w:t>No open defects at time of document generation.</w:t>
      </w:r>
    </w:p>
    <w:tbl>
      <w:tblPr>
        <w:tblW w:type="pct" w:w="500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</w:tblBorders>
      </w:tblPr>
      <w:tr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ID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Category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Description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Severity</w:t>
            </w:r>
          </w:p>
        </w:tc>
        <w:tc>
          <w:tcPr>
            <w:shd w:color="auto" w:fill="0f4880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b w:val="true"/>
                <w:color w:val="ffffff"/>
                <w:sz w:val="18"/>
                <w:szCs w:val="18"/>
              </w:rPr>
              <w:t>Status</w:t>
            </w:r>
          </w:p>
        </w:tc>
      </w:tr>
      <w:tr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OI-001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MAAB-QuadArch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QuadArch 37 MAAB failures are toolchain errors, not model violations. Pending CI compiler config.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Low</w:t>
            </w:r>
          </w:p>
        </w:tc>
        <w:tc>
          <w:tcPr>
            <w:shd w:color="auto" w:fill="FFFFFF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Open</w:t>
            </w:r>
          </w:p>
        </w:tc>
      </w:tr>
      <w:tr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OI-002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Coverage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1/15 decision outside GuidanceCompute uncovered. Assessed infeasible.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Low</w:t>
            </w:r>
          </w:p>
        </w:tc>
        <w:tc>
          <w:tcPr>
            <w:shd w:color="auto" w:fill="eef2fa" w:val="clear"/>
            <w:tcMar>
              <w:top w:type="dxa" w:w="60.047999999999995"/>
              <w:left w:type="dxa" w:w="60.047999999999995"/>
              <w:bottom w:type="dxa" w:w="60.047999999999995"/>
              <w:right w:type="dxa" w:w="60.047999999999995"/>
            </w:tcMar>
          </w:tcPr>
          <w:p>
            <w:r>
              <w:rPr>
                <w:sz w:val="18"/>
                <w:szCs w:val="18"/>
              </w:rPr>
              <w:t>Accepted</w:t>
            </w:r>
          </w:p>
        </w:tc>
      </w:tr>
    </w:tbl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16cid:durableId="1644117763" w:numId="1">
    <w:abstractNumId w:val="9"/>
  </w:num>
  <w:num w16cid:durableId="448597277" w:numId="2">
    <w:abstractNumId w:val="7"/>
  </w:num>
  <w:num w16cid:durableId="1077746452" w:numId="3">
    <w:abstractNumId w:val="6"/>
  </w:num>
  <w:num w16cid:durableId="1255556181" w:numId="4">
    <w:abstractNumId w:val="5"/>
  </w:num>
  <w:num w16cid:durableId="1783038177" w:numId="5">
    <w:abstractNumId w:val="4"/>
  </w:num>
  <w:num w16cid:durableId="197547586" w:numId="6">
    <w:abstractNumId w:val="8"/>
  </w:num>
  <w:num w16cid:durableId="456411598" w:numId="7">
    <w:abstractNumId w:val="3"/>
  </w:num>
  <w:num w16cid:durableId="106779719" w:numId="8">
    <w:abstractNumId w:val="2"/>
  </w:num>
  <w:num w16cid:durableId="1681614380" w:numId="9">
    <w:abstractNumId w:val="1"/>
  </w:num>
  <w:num w16cid:durableId="1617830363" w:numId="10">
    <w:abstractNumId w:val="0"/>
  </w:num>
  <w:num w16cid:durableId="703403698" w:numId="11">
    <w:abstractNumId w:val="10"/>
  </w:num>
</w:numbering>
</file>

<file path=word/settings.xml><?xml version="1.0" encoding="utf-8"?>
<w:settings xmlns:w="http://schemas.openxmlformats.org/wordprocessingml/2006/main">
  <w:zoom w:percent="16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28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1956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C2F86"/>
    <w:rsid w:val="00ED149E"/>
    <w:rsid w:val="00ED489E"/>
    <w:rsid w:val="00EE6F97"/>
    <w:rsid w:val="00F7622E"/>
    <w:rsid w:val="00F76BEE"/>
    <w:rsid w:val="00F931F7"/>
    <w:rsid w:val="00FA7599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xmlns:o="urn:schemas-microsoft-com:office:office" xmlns:v="urn:schemas-microsoft-com:vml" spidmax="1026" v:ext="edit"/>
    <o:shapelayout xmlns:o="urn:schemas-microsoft-com:office:office" xmlns:v="urn:schemas-microsoft-com:vml" v:ext="edit">
      <o:idmap data="1" v:ext="edit"/>
    </o:shapelayout>
  </w:shapeDefaults>
  <w:decimalSymbol w:val="."/>
  <w:listSeparator w:val=","/>
  <w14:docId xmlns:w14="http://schemas.microsoft.com/office/word/2010/wordml"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styleId="FootnoteText" w:type="paragraph">
    <w:name w:val="footnote text"/>
    <w:basedOn w:val="Normal"/>
    <w:link w:val="FootnoteTextChar"/>
    <w:uiPriority w:val="99"/>
    <w:semiHidden/>
    <w:unhideWhenUsed/>
    <w:rsid w:val="00F931F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931F7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931F7"/>
    <w:rPr>
      <w:vertAlign w:val="superscript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endnotesId1" Target="endnotes.xml" Type="http://schemas.openxmlformats.org/officeDocument/2006/relationships/endnotes"/>
  <Relationship Id="footnotesId1" Target="footnotes.xml" Type="http://schemas.openxmlformats.org/officeDocument/2006/relationships/footnotes"/>
  <Relationship Id="rId1" Target="../customXml/item1.xml" Type="http://schemas.openxmlformats.org/officeDocument/2006/relationships/customXml"/>
  <Relationship Id="rId10" Target="theme/theme1.xml" Type="http://schemas.openxmlformats.org/officeDocument/2006/relationships/theme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8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2024-04-07T13:45:00Z</dcterms:modified>
</cp:coreProperties>
</file>