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"/>
        <w:gridCol w:w="1845"/>
        <w:gridCol w:w="716"/>
        <w:gridCol w:w="2417"/>
        <w:gridCol w:w="145"/>
        <w:gridCol w:w="2562"/>
      </w:tblGrid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 do Projeto: Controle Financeiro Uni Duni Tê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Autores: Aylton Almeida, Lucas Lima, Nayane Ornelas, Pedro Paulo 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Jacqueline Almeida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jjcca2@gmail.com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Proprietária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Dificuldade de comunicação sobre a parte financeira entre loja e proprietária, devido ao trabalho em localidades distintas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Sistema de cadastro de vendas e gastos, possibilitando acesso remoto por ambas as partes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Controle de estoque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Pagamentos de despesas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Funcionárias da loja e proprietária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proprietario deve fazer controle de cadastro de funcionários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#02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proprietário faz controle de cadastro de funcionários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#04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gastos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#05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#06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#07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ver o valor total de vendas no periodo determinado por ele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#08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#09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 deseja ver o total de vendas feitas por ele no dia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#10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sistema deve funcionar no Windows 7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Necessário login para acessar o sistema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Utilização de interfa</w:t>
            </w:r>
            <w:bookmarkStart w:id="0" w:name="_GoBack"/>
            <w:bookmarkEnd w:id="0"/>
            <w:r>
              <w:rPr/>
              <w:t>ce gráfica JavaFx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Utilização de java para o código principal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#14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Criação de um banco de dados em SQL Server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#15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funcionário/proprietário deseja ver alterações feitas em outra máquina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Essecial</w:t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Pendências: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fill="FFFFFF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val="clear" w:color="auto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InternetLink" w:customStyle="1">
    <w:name w:val="Internet Link"/>
    <w:uiPriority w:val="99"/>
    <w:unhideWhenUsed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hd w:val="clear" w:color="auto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uiPriority w:val="10"/>
    <w:qFormat/>
    <w:pPr>
      <w:shd w:val="clear" w:color="auto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auto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color="auto" w:fill="FFFFFF"/>
      <w:spacing w:before="0" w:after="57"/>
    </w:pPr>
    <w:rPr/>
  </w:style>
  <w:style w:type="paragraph" w:styleId="Contents2">
    <w:name w:val="TOC 2"/>
    <w:basedOn w:val="Normal"/>
    <w:uiPriority w:val="39"/>
    <w:unhideWhenUsed/>
    <w:pPr>
      <w:shd w:val="clear" w:color="auto" w:fill="FFFFFF"/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hd w:val="clear" w:color="auto" w:fill="FFFFFF"/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hd w:val="clear" w:color="auto" w:fill="FFFFFF"/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hd w:val="clear" w:color="auto" w:fill="FFFFFF"/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hd w:val="clear" w:color="auto" w:fill="FFFFFF"/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hd w:val="clear" w:color="auto" w:fill="FFFFFF"/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hd w:val="clear" w:color="auto" w:fill="FFFFFF"/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hd w:val="clear" w:color="auto" w:fill="FFFFFF"/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2</Pages>
  <Words>303</Words>
  <Characters>1766</Characters>
  <CharactersWithSpaces>1983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2019-03-06T22:45:00Z</dcterms:created>
  <dc:creator/>
  <dc:description/>
  <dc:language>pt-BR</dc:language>
  <cp:lastModifiedBy/>
  <dcterms:modified xsi:type="dcterms:W3CDTF">2019-03-14T10:28:31Z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