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595959"/>
          <w:spacing w:val="30"/>
          <w:sz w:val="24"/>
          <w:szCs w:val="24"/>
        </w:rPr>
        <w:t xml:space="preserve">RAPPORT DE PROJET</w:t>
      </w:r>
    </w:p>
    <w:p>
      <w:pPr>
        <w:spacing w:after="0" w:before="200"/>
        <w:jc w:val="center"/>
      </w:pPr>
      <w:r>
        <w:rPr>
          <w:b/>
          <w:bCs/>
          <w:color w:val="1B5E20"/>
          <w:sz w:val="52"/>
          <w:szCs w:val="52"/>
        </w:rPr>
        <w:t xml:space="preserve">Détection de Maladies des Cultures</w:t>
      </w:r>
    </w:p>
    <w:p>
      <w:pPr>
        <w:spacing w:after="400" w:before="100"/>
        <w:jc w:val="center"/>
      </w:pPr>
      <w:r>
        <w:rPr>
          <w:i/>
          <w:iCs/>
          <w:color w:val="2E7D32"/>
          <w:sz w:val="28"/>
          <w:szCs w:val="28"/>
        </w:rPr>
        <w:t xml:space="preserve">par Deep Learning et Transfer Learning (ResNet50)</w:t>
      </w:r>
    </w:p>
    <w:p>
      <w:pPr>
        <w:pBdr>
          <w:top w:val="single" w:color="2E7D32" w:sz="6" w:space="10"/>
        </w:pBdr>
        <w:spacing w:before="200"/>
        <w:jc w:val="center"/>
      </w:pPr>
    </w:p>
    <w:p>
      <w:pPr>
        <w:spacing w:before="700"/>
      </w:pPr>
    </w:p>
    <w:p>
      <w:pPr>
        <w:jc w:val="center"/>
      </w:pPr>
      <w:r>
        <w:rPr>
          <w:color w:val="333333"/>
          <w:sz w:val="24"/>
          <w:szCs w:val="24"/>
        </w:rPr>
        <w:t xml:space="preserve">Dataset : PlantVillage — 38 classes</w:t>
      </w:r>
    </w:p>
    <w:p>
      <w:pPr>
        <w:spacing w:before="100"/>
        <w:jc w:val="center"/>
      </w:pPr>
      <w:r>
        <w:rPr>
          <w:color w:val="333333"/>
          <w:sz w:val="24"/>
          <w:szCs w:val="24"/>
        </w:rPr>
        <w:t xml:space="preserve">Architecture : ResNet50 (Transfer Learning, ImageNet)</w:t>
      </w:r>
    </w:p>
    <w:p>
      <w:pPr>
        <w:spacing w:after="700" w:before="100"/>
        <w:jc w:val="center"/>
      </w:pPr>
      <w:r>
        <w:rPr>
          <w:color w:val="333333"/>
          <w:sz w:val="24"/>
          <w:szCs w:val="24"/>
        </w:rPr>
        <w:t xml:space="preserve">Environnement : Google Colab (GPU)</w:t>
      </w:r>
    </w:p>
    <w:p>
      <w:pPr>
        <w:spacing w:before="2200"/>
      </w:pPr>
    </w:p>
    <w:p>
      <w:pPr>
        <w:jc w:val="center"/>
      </w:pPr>
      <w:r>
        <w:rPr>
          <w:b/>
          <w:bCs/>
          <w:color w:val="1B5E20"/>
          <w:sz w:val="22"/>
          <w:szCs w:val="22"/>
        </w:rPr>
        <w:t xml:space="preserve">Master Intelligence Artificielle</w:t>
      </w:r>
    </w:p>
    <w:p>
      <w:pPr>
        <w:spacing w:before="60"/>
        <w:jc w:val="center"/>
      </w:pPr>
      <w:r>
        <w:rPr>
          <w:color w:val="333333"/>
          <w:sz w:val="22"/>
          <w:szCs w:val="22"/>
        </w:rPr>
        <w:t xml:space="preserve">FSBM — Université Hassan II de Casablanca</w:t>
      </w:r>
    </w:p>
    <w:p>
      <w:pPr>
        <w:spacing w:before="60"/>
        <w:jc w:val="center"/>
      </w:pPr>
      <w:r>
        <w:rPr>
          <w:color w:val="595959"/>
          <w:sz w:val="20"/>
          <w:szCs w:val="20"/>
        </w:rPr>
        <w:t xml:space="preserve">Casablanca, 2026</w:t>
      </w:r>
    </w:p>
    <w:p>
      <w:pPr>
        <w:sectPr>
          <w:pgSz w:w="12240" w:h="15840" w:orient="portrait"/>
          <w:pgMar w:top="1440" w:right="1440" w:bottom="1440" w:left="1440" w:header="708" w:footer="708" w:gutter="0"/>
          <w:pgNumType/>
          <w:docGrid w:linePitch="360"/>
        </w:sectPr>
      </w:pPr>
    </w:p>
    <w:p>
      <w:pPr>
        <w:pStyle w:val="Heading1"/>
      </w:pPr>
      <w:r>
        <w:t xml:space="preserve">1. Contexte et Objectif</w:t>
      </w:r>
    </w:p>
    <w:p>
      <w:pPr>
        <w:spacing w:after="160" w:line="276"/>
      </w:pPr>
      <w:r>
        <w:t xml:space="preserve">La détection précoce des maladies des plantes est un enjeu majeur pour l'agriculture moderne, permettant d'optimiser les rendements et de limiter l'usage de pesticides. L'objectif de ce projet est de développer un modèle d'Intelligence Artificielle basé sur le Deep Learning capable d'identifier automatiquement diverses maladies à partir de photos de feuilles de plantes.</w:t>
      </w:r>
    </w:p>
    <w:p>
      <w:pPr>
        <w:pStyle w:val="Heading1"/>
      </w:pPr>
      <w:r>
        <w:t xml:space="preserve">2. Données Utilisées</w:t>
      </w:r>
    </w:p>
    <w:p>
      <w:pPr>
        <w:spacing w:after="160" w:line="276"/>
      </w:pPr>
      <w:r>
        <w:t xml:space="preserve">Ce projet s'appuie sur le dataset public </w:t>
      </w:r>
      <w:r>
        <w:rPr>
          <w:b/>
          <w:bCs/>
        </w:rPr>
        <w:t xml:space="preserve">PlantVillage</w:t>
      </w:r>
      <w:r>
        <w:t xml:space="preserve">, un standard dans la communauté pour l'analyse visuelle des feuilles.</w:t>
      </w:r>
    </w:p>
    <w:p>
      <w:pPr>
        <w:pStyle w:val="ListParagraph"/>
        <w:numPr>
          <w:ilvl w:val="0"/>
          <w:numId w:val="2"/>
        </w:numPr>
        <w:spacing w:after="100" w:line="276"/>
      </w:pPr>
      <w:r>
        <w:rPr>
          <w:b/>
          <w:bCs/>
        </w:rPr>
        <w:t xml:space="preserve">Nombre de classes : </w:t>
      </w:r>
      <w:r>
        <w:t xml:space="preserve">38 classes (comprenant différentes paires de type de plante / maladie, ainsi que des feuilles saines).</w:t>
      </w:r>
    </w:p>
    <w:p>
      <w:pPr>
        <w:pStyle w:val="ListParagraph"/>
        <w:numPr>
          <w:ilvl w:val="0"/>
          <w:numId w:val="2"/>
        </w:numPr>
        <w:spacing w:after="100" w:line="276"/>
      </w:pPr>
      <w:r>
        <w:rPr>
          <w:b/>
          <w:bCs/>
        </w:rPr>
        <w:t xml:space="preserve">Prétraitement et Data Augmentation : </w:t>
      </w:r>
      <w:r>
        <w:t xml:space="preserve">afin d'améliorer la robustesse du modèle (réduction de l'overfitting), le jeu d'entraînement bénéficie de techniques de data augmentation (Random Resized Crop, Random Horizontal Flip, Color Jitter). Les images sont redimensionnées et normalisées selon les standards ImageNet.</w:t>
      </w:r>
    </w:p>
    <w:p>
      <w:pPr>
        <w:pStyle w:val="ListParagraph"/>
        <w:numPr>
          <w:ilvl w:val="0"/>
          <w:numId w:val="2"/>
        </w:numPr>
        <w:spacing w:after="100" w:line="276"/>
      </w:pPr>
      <w:r>
        <w:rPr>
          <w:b/>
          <w:bCs/>
        </w:rPr>
        <w:t xml:space="preserve">Répartition : </w:t>
      </w:r>
      <w:r>
        <w:t xml:space="preserve">le jeu de données est divisé en trois sous-ensembles : 80 % pour l'entraînement, 10 % pour la validation et 10 % pour le test.</w:t>
      </w:r>
    </w:p>
    <w:p>
      <w:pPr>
        <w:pStyle w:val="Heading2"/>
      </w:pPr>
      <w:r>
        <w:t xml:space="preserve">2.1 Répartition des images par classe</w:t>
      </w:r>
    </w:p>
    <w:p>
      <w:pPr>
        <w:spacing w:after="160" w:line="276"/>
      </w:pPr>
      <w:r>
        <w:t xml:space="preserve">Le graphique ci-dessous illustre le déséquilibre du dataset : certaines classes comme « Orange — Huanglongbing » ou « Soybean — healthy » comptent plus de 5 000 images, tandis que d'autres, comme « Potato — healthy », n'en comptent qu'une centaine.</w:t>
      </w:r>
    </w:p>
    <w:p>
      <w:pPr>
        <w:spacing w:after="40" w:before="120"/>
        <w:jc w:val="center"/>
      </w:pPr>
      <w:r>
        <w:drawing>
          <wp:inline distT="0" distB="0" distL="0" distR="0">
            <wp:extent cx="5905500" cy="3743325"/>
            <wp:effectExtent t="0" r="0" b="0" l="0"/>
            <wp:docPr id="1" name="cell3_out1.png" descr="cell3_out1.png" title="cell3_ou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743325"/>
                    </a:xfrm>
                    <a:prstGeom prst="rect">
                      <a:avLst/>
                    </a:prstGeom>
                  </pic:spPr>
                </pic:pic>
              </a:graphicData>
            </a:graphic>
          </wp:inline>
        </w:drawing>
      </w:r>
    </w:p>
    <w:p>
      <w:pPr>
        <w:spacing w:after="280" w:before="80"/>
        <w:jc w:val="center"/>
      </w:pPr>
      <w:r>
        <w:rPr>
          <w:i/>
          <w:iCs/>
          <w:color w:val="595959"/>
          <w:sz w:val="20"/>
          <w:szCs w:val="20"/>
        </w:rPr>
        <w:t xml:space="preserve">Figure 1 — Répartition du nombre d'images par classe dans le dataset PlantVillage.</w:t>
      </w:r>
    </w:p>
    <w:p>
      <w:pPr>
        <w:pStyle w:val="Heading2"/>
      </w:pPr>
      <w:r>
        <w:t xml:space="preserve">2.2 Exemples d'images du dataset</w:t>
      </w:r>
    </w:p>
    <w:p>
      <w:pPr>
        <w:spacing w:after="160" w:line="276"/>
      </w:pPr>
      <w:r>
        <w:t xml:space="preserve">Un échantillon aléatoire d'images annotées permet de visualiser la diversité visuelle des symptômes (taches, décolorations, lésions) selon les classes.</w:t>
      </w:r>
    </w:p>
    <w:p>
      <w:pPr>
        <w:spacing w:after="40" w:before="120"/>
        <w:jc w:val="center"/>
      </w:pPr>
      <w:r>
        <w:drawing>
          <wp:inline distT="0" distB="0" distL="0" distR="0">
            <wp:extent cx="5905500" cy="2562225"/>
            <wp:effectExtent t="0" r="0" b="0" l="0"/>
            <wp:docPr id="1" name="cell4_out1.png" descr="cell4_out1.png" title="cell4_ou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562225"/>
                    </a:xfrm>
                    <a:prstGeom prst="rect">
                      <a:avLst/>
                    </a:prstGeom>
                  </pic:spPr>
                </pic:pic>
              </a:graphicData>
            </a:graphic>
          </wp:inline>
        </w:drawing>
      </w:r>
    </w:p>
    <w:p>
      <w:pPr>
        <w:spacing w:after="280" w:before="80"/>
        <w:jc w:val="center"/>
      </w:pPr>
      <w:r>
        <w:rPr>
          <w:i/>
          <w:iCs/>
          <w:color w:val="595959"/>
          <w:sz w:val="20"/>
          <w:szCs w:val="20"/>
        </w:rPr>
        <w:t xml:space="preserve">Figure 2 — Échantillon d'images du dataset avec leur étiquette de classe.</w:t>
      </w:r>
    </w:p>
    <w:p>
      <w:pPr>
        <w:pStyle w:val="Heading1"/>
      </w:pPr>
      <w:r>
        <w:t xml:space="preserve">3. Architecture du Modèle</w:t>
      </w:r>
    </w:p>
    <w:p>
      <w:pPr>
        <w:spacing w:after="160" w:line="276"/>
      </w:pPr>
      <w:r>
        <w:t xml:space="preserve">L'approche choisie repose sur le </w:t>
      </w:r>
      <w:r>
        <w:rPr>
          <w:b/>
          <w:bCs/>
        </w:rPr>
        <w:t xml:space="preserve">Transfer Learning</w:t>
      </w:r>
      <w:r>
        <w:t xml:space="preserve"> (apprentissage par transfert) à l'aide de l'architecture </w:t>
      </w:r>
      <w:r>
        <w:rPr>
          <w:b/>
          <w:bCs/>
        </w:rPr>
        <w:t xml:space="preserve">ResNet50</w:t>
      </w:r>
      <w:r>
        <w:t xml:space="preserve">.</w:t>
      </w:r>
    </w:p>
    <w:p>
      <w:pPr>
        <w:pStyle w:val="ListParagraph"/>
        <w:numPr>
          <w:ilvl w:val="0"/>
          <w:numId w:val="2"/>
        </w:numPr>
        <w:spacing w:after="100" w:line="276"/>
      </w:pPr>
      <w:r>
        <w:rPr>
          <w:b/>
          <w:bCs/>
        </w:rPr>
        <w:t xml:space="preserve">Pré-entraînement : </w:t>
      </w:r>
      <w:r>
        <w:t xml:space="preserve">le modèle est initialement pré-entraîné sur le vaste jeu de données ImageNet, ce qui lui permet de reconnaître de nombreuses caractéristiques visuelles (bords, textures, formes).</w:t>
      </w:r>
    </w:p>
    <w:p>
      <w:pPr>
        <w:pStyle w:val="ListParagraph"/>
        <w:numPr>
          <w:ilvl w:val="0"/>
          <w:numId w:val="2"/>
        </w:numPr>
        <w:spacing w:after="100" w:line="276"/>
      </w:pPr>
      <w:r>
        <w:rPr>
          <w:b/>
          <w:bCs/>
        </w:rPr>
        <w:t xml:space="preserve">Adaptation : </w:t>
      </w:r>
      <w:r>
        <w:t xml:space="preserve">les couches extractrices de caractéristiques du modèle ResNet50 sont « gelées » (frozen). Seule la couche de classification finale (Fully Connected layer) est remplacée pour s'adapter spécifiquement à nos 38 classes.</w:t>
      </w:r>
    </w:p>
    <w:p>
      <w:pPr>
        <w:pStyle w:val="ListParagraph"/>
        <w:numPr>
          <w:ilvl w:val="0"/>
          <w:numId w:val="2"/>
        </w:numPr>
        <w:spacing w:after="100" w:line="276"/>
      </w:pPr>
      <w:r>
        <w:rPr>
          <w:b/>
          <w:bCs/>
        </w:rPr>
        <w:t xml:space="preserve">Hyperparamètres : </w:t>
      </w:r>
      <w:r>
        <w:t xml:space="preserve">le modèle s'entraîne avec un batch size de 32, sur 10 époques, avec l'optimiseur Adam et un learning rate de 0.001.</w:t>
      </w:r>
    </w:p>
    <w:p>
      <w:pPr>
        <w:pStyle w:val="Heading2"/>
      </w:pPr>
      <w:r>
        <w:t xml:space="preserve">3.1 Synthèse des hyperparamètres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FE3CF" w:sz="4"/>
              <w:left w:val="single" w:color="CFE3CF" w:sz="4"/>
              <w:bottom w:val="single" w:color="CFE3CF" w:sz="4"/>
              <w:right w:val="single" w:color="CFE3CF" w:sz="4"/>
            </w:tcBorders>
            <w:shd w:fill="2E7D32" w:val="clear"/>
            <w:tcMar>
              <w:top w:type="dxa" w:w="100"/>
              <w:left w:type="dxa" w:w="140"/>
              <w:bottom w:type="dxa" w:w="100"/>
              <w:right w:type="dxa" w:w="140"/>
            </w:tcMar>
            <w:vAlign w:val="center"/>
          </w:tcPr>
          <w:p>
            <w:pPr>
              <w:jc w:val="left"/>
            </w:pPr>
            <w:r>
              <w:rPr>
                <w:b/>
                <w:bCs/>
                <w:color w:val="FFFFFF"/>
                <w:sz w:val="20"/>
                <w:szCs w:val="20"/>
              </w:rPr>
              <w:t xml:space="preserve">Paramètre</w:t>
            </w:r>
          </w:p>
        </w:tc>
        <w:tc>
          <w:tcPr>
            <w:tcW w:type="dxa" w:w="4680"/>
            <w:tcBorders>
              <w:top w:val="single" w:color="CFE3CF" w:sz="4"/>
              <w:left w:val="single" w:color="CFE3CF" w:sz="4"/>
              <w:bottom w:val="single" w:color="CFE3CF" w:sz="4"/>
              <w:right w:val="single" w:color="CFE3CF" w:sz="4"/>
            </w:tcBorders>
            <w:shd w:fill="2E7D32" w:val="clear"/>
            <w:tcMar>
              <w:top w:type="dxa" w:w="100"/>
              <w:left w:type="dxa" w:w="140"/>
              <w:bottom w:type="dxa" w:w="100"/>
              <w:right w:type="dxa" w:w="140"/>
            </w:tcMar>
            <w:vAlign w:val="center"/>
          </w:tcPr>
          <w:p>
            <w:pPr>
              <w:jc w:val="center"/>
            </w:pPr>
            <w:r>
              <w:rPr>
                <w:b/>
                <w:bCs/>
                <w:color w:val="FFFFFF"/>
                <w:sz w:val="20"/>
                <w:szCs w:val="20"/>
              </w:rPr>
              <w:t xml:space="preserve">Valeur</w:t>
            </w:r>
          </w:p>
        </w:tc>
      </w:tr>
      <w:tr>
        <w:tc>
          <w:tcPr>
            <w:tcW w:type="dxa" w:w="4680"/>
            <w:tcBorders>
              <w:top w:val="single" w:color="CFE3CF" w:sz="4"/>
              <w:left w:val="single" w:color="CFE3CF" w:sz="4"/>
              <w:bottom w:val="single" w:color="CFE3CF" w:sz="4"/>
              <w:right w:val="single" w:color="CFE3CF" w:sz="4"/>
            </w:tcBorders>
            <w:shd w:fill="FFFFFF" w:val="clear"/>
            <w:tcMar>
              <w:top w:type="dxa" w:w="100"/>
              <w:left w:type="dxa" w:w="140"/>
              <w:bottom w:type="dxa" w:w="100"/>
              <w:right w:type="dxa" w:w="140"/>
            </w:tcMar>
            <w:vAlign w:val="center"/>
          </w:tcPr>
          <w:p>
            <w:pPr>
              <w:jc w:val="left"/>
            </w:pPr>
            <w:r>
              <w:rPr>
                <w:b w:val="false"/>
                <w:bCs w:val="false"/>
                <w:color w:val="1A1A1A"/>
                <w:sz w:val="20"/>
                <w:szCs w:val="20"/>
              </w:rPr>
              <w:t xml:space="preserve">Architecture</w:t>
            </w:r>
          </w:p>
        </w:tc>
        <w:tc>
          <w:tcPr>
            <w:tcW w:type="dxa" w:w="4680"/>
            <w:tcBorders>
              <w:top w:val="single" w:color="CFE3CF" w:sz="4"/>
              <w:left w:val="single" w:color="CFE3CF" w:sz="4"/>
              <w:bottom w:val="single" w:color="CFE3CF" w:sz="4"/>
              <w:right w:val="single" w:color="CFE3CF" w:sz="4"/>
            </w:tcBorders>
            <w:shd w:fill="FFFFFF" w:val="clear"/>
            <w:tcMar>
              <w:top w:type="dxa" w:w="100"/>
              <w:left w:type="dxa" w:w="140"/>
              <w:bottom w:type="dxa" w:w="100"/>
              <w:right w:type="dxa" w:w="140"/>
            </w:tcMar>
            <w:vAlign w:val="center"/>
          </w:tcPr>
          <w:p>
            <w:pPr>
              <w:jc w:val="center"/>
            </w:pPr>
            <w:r>
              <w:rPr>
                <w:b w:val="false"/>
                <w:bCs w:val="false"/>
                <w:color w:val="1A1A1A"/>
                <w:sz w:val="20"/>
                <w:szCs w:val="20"/>
              </w:rPr>
              <w:t xml:space="preserve">ResNet50 (pré-entraîné ImageNet)</w:t>
            </w:r>
          </w:p>
        </w:tc>
      </w:tr>
      <w:tr>
        <w:tc>
          <w:tcPr>
            <w:tcW w:type="dxa" w:w="4680"/>
            <w:tcBorders>
              <w:top w:val="single" w:color="CFE3CF" w:sz="4"/>
              <w:left w:val="single" w:color="CFE3CF" w:sz="4"/>
              <w:bottom w:val="single" w:color="CFE3CF" w:sz="4"/>
              <w:right w:val="single" w:color="CFE3CF" w:sz="4"/>
            </w:tcBorders>
            <w:shd w:fill="EAF3EA" w:val="clear"/>
            <w:tcMar>
              <w:top w:type="dxa" w:w="100"/>
              <w:left w:type="dxa" w:w="140"/>
              <w:bottom w:type="dxa" w:w="100"/>
              <w:right w:type="dxa" w:w="140"/>
            </w:tcMar>
            <w:vAlign w:val="center"/>
          </w:tcPr>
          <w:p>
            <w:pPr>
              <w:jc w:val="left"/>
            </w:pPr>
            <w:r>
              <w:rPr>
                <w:b w:val="false"/>
                <w:bCs w:val="false"/>
                <w:color w:val="1A1A1A"/>
                <w:sz w:val="20"/>
                <w:szCs w:val="20"/>
              </w:rPr>
              <w:t xml:space="preserve">Couches gelées</w:t>
            </w:r>
          </w:p>
        </w:tc>
        <w:tc>
          <w:tcPr>
            <w:tcW w:type="dxa" w:w="4680"/>
            <w:tcBorders>
              <w:top w:val="single" w:color="CFE3CF" w:sz="4"/>
              <w:left w:val="single" w:color="CFE3CF" w:sz="4"/>
              <w:bottom w:val="single" w:color="CFE3CF" w:sz="4"/>
              <w:right w:val="single" w:color="CFE3CF" w:sz="4"/>
            </w:tcBorders>
            <w:shd w:fill="EAF3EA" w:val="clear"/>
            <w:tcMar>
              <w:top w:type="dxa" w:w="100"/>
              <w:left w:type="dxa" w:w="140"/>
              <w:bottom w:type="dxa" w:w="100"/>
              <w:right w:type="dxa" w:w="140"/>
            </w:tcMar>
            <w:vAlign w:val="center"/>
          </w:tcPr>
          <w:p>
            <w:pPr>
              <w:jc w:val="center"/>
            </w:pPr>
            <w:r>
              <w:rPr>
                <w:b w:val="false"/>
                <w:bCs w:val="false"/>
                <w:color w:val="1A1A1A"/>
                <w:sz w:val="20"/>
                <w:szCs w:val="20"/>
              </w:rPr>
              <w:t xml:space="preserve">Toutes sauf la couche FC finale</w:t>
            </w:r>
          </w:p>
        </w:tc>
      </w:tr>
      <w:tr>
        <w:tc>
          <w:tcPr>
            <w:tcW w:type="dxa" w:w="4680"/>
            <w:tcBorders>
              <w:top w:val="single" w:color="CFE3CF" w:sz="4"/>
              <w:left w:val="single" w:color="CFE3CF" w:sz="4"/>
              <w:bottom w:val="single" w:color="CFE3CF" w:sz="4"/>
              <w:right w:val="single" w:color="CFE3CF" w:sz="4"/>
            </w:tcBorders>
            <w:shd w:fill="FFFFFF" w:val="clear"/>
            <w:tcMar>
              <w:top w:type="dxa" w:w="100"/>
              <w:left w:type="dxa" w:w="140"/>
              <w:bottom w:type="dxa" w:w="100"/>
              <w:right w:type="dxa" w:w="140"/>
            </w:tcMar>
            <w:vAlign w:val="center"/>
          </w:tcPr>
          <w:p>
            <w:pPr>
              <w:jc w:val="left"/>
            </w:pPr>
            <w:r>
              <w:rPr>
                <w:b w:val="false"/>
                <w:bCs w:val="false"/>
                <w:color w:val="1A1A1A"/>
                <w:sz w:val="20"/>
                <w:szCs w:val="20"/>
              </w:rPr>
              <w:t xml:space="preserve">Nombre de classes en sortie</w:t>
            </w:r>
          </w:p>
        </w:tc>
        <w:tc>
          <w:tcPr>
            <w:tcW w:type="dxa" w:w="4680"/>
            <w:tcBorders>
              <w:top w:val="single" w:color="CFE3CF" w:sz="4"/>
              <w:left w:val="single" w:color="CFE3CF" w:sz="4"/>
              <w:bottom w:val="single" w:color="CFE3CF" w:sz="4"/>
              <w:right w:val="single" w:color="CFE3CF" w:sz="4"/>
            </w:tcBorders>
            <w:shd w:fill="FFFFFF" w:val="clear"/>
            <w:tcMar>
              <w:top w:type="dxa" w:w="100"/>
              <w:left w:type="dxa" w:w="140"/>
              <w:bottom w:type="dxa" w:w="100"/>
              <w:right w:type="dxa" w:w="140"/>
            </w:tcMar>
            <w:vAlign w:val="center"/>
          </w:tcPr>
          <w:p>
            <w:pPr>
              <w:jc w:val="center"/>
            </w:pPr>
            <w:r>
              <w:rPr>
                <w:b w:val="false"/>
                <w:bCs w:val="false"/>
                <w:color w:val="1A1A1A"/>
                <w:sz w:val="20"/>
                <w:szCs w:val="20"/>
              </w:rPr>
              <w:t xml:space="preserve">38</w:t>
            </w:r>
          </w:p>
        </w:tc>
      </w:tr>
      <w:tr>
        <w:tc>
          <w:tcPr>
            <w:tcW w:type="dxa" w:w="4680"/>
            <w:tcBorders>
              <w:top w:val="single" w:color="CFE3CF" w:sz="4"/>
              <w:left w:val="single" w:color="CFE3CF" w:sz="4"/>
              <w:bottom w:val="single" w:color="CFE3CF" w:sz="4"/>
              <w:right w:val="single" w:color="CFE3CF" w:sz="4"/>
            </w:tcBorders>
            <w:shd w:fill="EAF3EA" w:val="clear"/>
            <w:tcMar>
              <w:top w:type="dxa" w:w="100"/>
              <w:left w:type="dxa" w:w="140"/>
              <w:bottom w:type="dxa" w:w="100"/>
              <w:right w:type="dxa" w:w="140"/>
            </w:tcMar>
            <w:vAlign w:val="center"/>
          </w:tcPr>
          <w:p>
            <w:pPr>
              <w:jc w:val="left"/>
            </w:pPr>
            <w:r>
              <w:rPr>
                <w:b w:val="false"/>
                <w:bCs w:val="false"/>
                <w:color w:val="1A1A1A"/>
                <w:sz w:val="20"/>
                <w:szCs w:val="20"/>
              </w:rPr>
              <w:t xml:space="preserve">Batch size</w:t>
            </w:r>
          </w:p>
        </w:tc>
        <w:tc>
          <w:tcPr>
            <w:tcW w:type="dxa" w:w="4680"/>
            <w:tcBorders>
              <w:top w:val="single" w:color="CFE3CF" w:sz="4"/>
              <w:left w:val="single" w:color="CFE3CF" w:sz="4"/>
              <w:bottom w:val="single" w:color="CFE3CF" w:sz="4"/>
              <w:right w:val="single" w:color="CFE3CF" w:sz="4"/>
            </w:tcBorders>
            <w:shd w:fill="EAF3EA" w:val="clear"/>
            <w:tcMar>
              <w:top w:type="dxa" w:w="100"/>
              <w:left w:type="dxa" w:w="140"/>
              <w:bottom w:type="dxa" w:w="100"/>
              <w:right w:type="dxa" w:w="140"/>
            </w:tcMar>
            <w:vAlign w:val="center"/>
          </w:tcPr>
          <w:p>
            <w:pPr>
              <w:jc w:val="center"/>
            </w:pPr>
            <w:r>
              <w:rPr>
                <w:b w:val="false"/>
                <w:bCs w:val="false"/>
                <w:color w:val="1A1A1A"/>
                <w:sz w:val="20"/>
                <w:szCs w:val="20"/>
              </w:rPr>
              <w:t xml:space="preserve">32</w:t>
            </w:r>
          </w:p>
        </w:tc>
      </w:tr>
      <w:tr>
        <w:tc>
          <w:tcPr>
            <w:tcW w:type="dxa" w:w="4680"/>
            <w:tcBorders>
              <w:top w:val="single" w:color="CFE3CF" w:sz="4"/>
              <w:left w:val="single" w:color="CFE3CF" w:sz="4"/>
              <w:bottom w:val="single" w:color="CFE3CF" w:sz="4"/>
              <w:right w:val="single" w:color="CFE3CF" w:sz="4"/>
            </w:tcBorders>
            <w:shd w:fill="FFFFFF" w:val="clear"/>
            <w:tcMar>
              <w:top w:type="dxa" w:w="100"/>
              <w:left w:type="dxa" w:w="140"/>
              <w:bottom w:type="dxa" w:w="100"/>
              <w:right w:type="dxa" w:w="140"/>
            </w:tcMar>
            <w:vAlign w:val="center"/>
          </w:tcPr>
          <w:p>
            <w:pPr>
              <w:jc w:val="left"/>
            </w:pPr>
            <w:r>
              <w:rPr>
                <w:b w:val="false"/>
                <w:bCs w:val="false"/>
                <w:color w:val="1A1A1A"/>
                <w:sz w:val="20"/>
                <w:szCs w:val="20"/>
              </w:rPr>
              <w:t xml:space="preserve">Nombre d'époques</w:t>
            </w:r>
          </w:p>
        </w:tc>
        <w:tc>
          <w:tcPr>
            <w:tcW w:type="dxa" w:w="4680"/>
            <w:tcBorders>
              <w:top w:val="single" w:color="CFE3CF" w:sz="4"/>
              <w:left w:val="single" w:color="CFE3CF" w:sz="4"/>
              <w:bottom w:val="single" w:color="CFE3CF" w:sz="4"/>
              <w:right w:val="single" w:color="CFE3CF" w:sz="4"/>
            </w:tcBorders>
            <w:shd w:fill="FFFFFF" w:val="clear"/>
            <w:tcMar>
              <w:top w:type="dxa" w:w="100"/>
              <w:left w:type="dxa" w:w="140"/>
              <w:bottom w:type="dxa" w:w="100"/>
              <w:right w:type="dxa" w:w="140"/>
            </w:tcMar>
            <w:vAlign w:val="center"/>
          </w:tcPr>
          <w:p>
            <w:pPr>
              <w:jc w:val="center"/>
            </w:pPr>
            <w:r>
              <w:rPr>
                <w:b w:val="false"/>
                <w:bCs w:val="false"/>
                <w:color w:val="1A1A1A"/>
                <w:sz w:val="20"/>
                <w:szCs w:val="20"/>
              </w:rPr>
              <w:t xml:space="preserve">10</w:t>
            </w:r>
          </w:p>
        </w:tc>
      </w:tr>
      <w:tr>
        <w:tc>
          <w:tcPr>
            <w:tcW w:type="dxa" w:w="4680"/>
            <w:tcBorders>
              <w:top w:val="single" w:color="CFE3CF" w:sz="4"/>
              <w:left w:val="single" w:color="CFE3CF" w:sz="4"/>
              <w:bottom w:val="single" w:color="CFE3CF" w:sz="4"/>
              <w:right w:val="single" w:color="CFE3CF" w:sz="4"/>
            </w:tcBorders>
            <w:shd w:fill="EAF3EA" w:val="clear"/>
            <w:tcMar>
              <w:top w:type="dxa" w:w="100"/>
              <w:left w:type="dxa" w:w="140"/>
              <w:bottom w:type="dxa" w:w="100"/>
              <w:right w:type="dxa" w:w="140"/>
            </w:tcMar>
            <w:vAlign w:val="center"/>
          </w:tcPr>
          <w:p>
            <w:pPr>
              <w:jc w:val="left"/>
            </w:pPr>
            <w:r>
              <w:rPr>
                <w:b w:val="false"/>
                <w:bCs w:val="false"/>
                <w:color w:val="1A1A1A"/>
                <w:sz w:val="20"/>
                <w:szCs w:val="20"/>
              </w:rPr>
              <w:t xml:space="preserve">Optimiseur</w:t>
            </w:r>
          </w:p>
        </w:tc>
        <w:tc>
          <w:tcPr>
            <w:tcW w:type="dxa" w:w="4680"/>
            <w:tcBorders>
              <w:top w:val="single" w:color="CFE3CF" w:sz="4"/>
              <w:left w:val="single" w:color="CFE3CF" w:sz="4"/>
              <w:bottom w:val="single" w:color="CFE3CF" w:sz="4"/>
              <w:right w:val="single" w:color="CFE3CF" w:sz="4"/>
            </w:tcBorders>
            <w:shd w:fill="EAF3EA" w:val="clear"/>
            <w:tcMar>
              <w:top w:type="dxa" w:w="100"/>
              <w:left w:type="dxa" w:w="140"/>
              <w:bottom w:type="dxa" w:w="100"/>
              <w:right w:type="dxa" w:w="140"/>
            </w:tcMar>
            <w:vAlign w:val="center"/>
          </w:tcPr>
          <w:p>
            <w:pPr>
              <w:jc w:val="center"/>
            </w:pPr>
            <w:r>
              <w:rPr>
                <w:b w:val="false"/>
                <w:bCs w:val="false"/>
                <w:color w:val="1A1A1A"/>
                <w:sz w:val="20"/>
                <w:szCs w:val="20"/>
              </w:rPr>
              <w:t xml:space="preserve">Adam</w:t>
            </w:r>
          </w:p>
        </w:tc>
      </w:tr>
      <w:tr>
        <w:tc>
          <w:tcPr>
            <w:tcW w:type="dxa" w:w="4680"/>
            <w:tcBorders>
              <w:top w:val="single" w:color="CFE3CF" w:sz="4"/>
              <w:left w:val="single" w:color="CFE3CF" w:sz="4"/>
              <w:bottom w:val="single" w:color="CFE3CF" w:sz="4"/>
              <w:right w:val="single" w:color="CFE3CF" w:sz="4"/>
            </w:tcBorders>
            <w:shd w:fill="FFFFFF" w:val="clear"/>
            <w:tcMar>
              <w:top w:type="dxa" w:w="100"/>
              <w:left w:type="dxa" w:w="140"/>
              <w:bottom w:type="dxa" w:w="100"/>
              <w:right w:type="dxa" w:w="140"/>
            </w:tcMar>
            <w:vAlign w:val="center"/>
          </w:tcPr>
          <w:p>
            <w:pPr>
              <w:jc w:val="left"/>
            </w:pPr>
            <w:r>
              <w:rPr>
                <w:b w:val="false"/>
                <w:bCs w:val="false"/>
                <w:color w:val="1A1A1A"/>
                <w:sz w:val="20"/>
                <w:szCs w:val="20"/>
              </w:rPr>
              <w:t xml:space="preserve">Learning rate</w:t>
            </w:r>
          </w:p>
        </w:tc>
        <w:tc>
          <w:tcPr>
            <w:tcW w:type="dxa" w:w="4680"/>
            <w:tcBorders>
              <w:top w:val="single" w:color="CFE3CF" w:sz="4"/>
              <w:left w:val="single" w:color="CFE3CF" w:sz="4"/>
              <w:bottom w:val="single" w:color="CFE3CF" w:sz="4"/>
              <w:right w:val="single" w:color="CFE3CF" w:sz="4"/>
            </w:tcBorders>
            <w:shd w:fill="FFFFFF" w:val="clear"/>
            <w:tcMar>
              <w:top w:type="dxa" w:w="100"/>
              <w:left w:type="dxa" w:w="140"/>
              <w:bottom w:type="dxa" w:w="100"/>
              <w:right w:type="dxa" w:w="140"/>
            </w:tcMar>
            <w:vAlign w:val="center"/>
          </w:tcPr>
          <w:p>
            <w:pPr>
              <w:jc w:val="center"/>
            </w:pPr>
            <w:r>
              <w:rPr>
                <w:b w:val="false"/>
                <w:bCs w:val="false"/>
                <w:color w:val="1A1A1A"/>
                <w:sz w:val="20"/>
                <w:szCs w:val="20"/>
              </w:rPr>
              <w:t xml:space="preserve">0.001</w:t>
            </w:r>
          </w:p>
        </w:tc>
      </w:tr>
      <w:tr>
        <w:tc>
          <w:tcPr>
            <w:tcW w:type="dxa" w:w="4680"/>
            <w:tcBorders>
              <w:top w:val="single" w:color="CFE3CF" w:sz="4"/>
              <w:left w:val="single" w:color="CFE3CF" w:sz="4"/>
              <w:bottom w:val="single" w:color="CFE3CF" w:sz="4"/>
              <w:right w:val="single" w:color="CFE3CF" w:sz="4"/>
            </w:tcBorders>
            <w:shd w:fill="EAF3EA" w:val="clear"/>
            <w:tcMar>
              <w:top w:type="dxa" w:w="100"/>
              <w:left w:type="dxa" w:w="140"/>
              <w:bottom w:type="dxa" w:w="100"/>
              <w:right w:type="dxa" w:w="140"/>
            </w:tcMar>
            <w:vAlign w:val="center"/>
          </w:tcPr>
          <w:p>
            <w:pPr>
              <w:jc w:val="left"/>
            </w:pPr>
            <w:r>
              <w:rPr>
                <w:b w:val="false"/>
                <w:bCs w:val="false"/>
                <w:color w:val="1A1A1A"/>
                <w:sz w:val="20"/>
                <w:szCs w:val="20"/>
              </w:rPr>
              <w:t xml:space="preserve">Fonction de perte</w:t>
            </w:r>
          </w:p>
        </w:tc>
        <w:tc>
          <w:tcPr>
            <w:tcW w:type="dxa" w:w="4680"/>
            <w:tcBorders>
              <w:top w:val="single" w:color="CFE3CF" w:sz="4"/>
              <w:left w:val="single" w:color="CFE3CF" w:sz="4"/>
              <w:bottom w:val="single" w:color="CFE3CF" w:sz="4"/>
              <w:right w:val="single" w:color="CFE3CF" w:sz="4"/>
            </w:tcBorders>
            <w:shd w:fill="EAF3EA" w:val="clear"/>
            <w:tcMar>
              <w:top w:type="dxa" w:w="100"/>
              <w:left w:type="dxa" w:w="140"/>
              <w:bottom w:type="dxa" w:w="100"/>
              <w:right w:type="dxa" w:w="140"/>
            </w:tcMar>
            <w:vAlign w:val="center"/>
          </w:tcPr>
          <w:p>
            <w:pPr>
              <w:jc w:val="center"/>
            </w:pPr>
            <w:r>
              <w:rPr>
                <w:b w:val="false"/>
                <w:bCs w:val="false"/>
                <w:color w:val="1A1A1A"/>
                <w:sz w:val="20"/>
                <w:szCs w:val="20"/>
              </w:rPr>
              <w:t xml:space="preserve">CrossEntropyLoss</w:t>
            </w:r>
          </w:p>
        </w:tc>
      </w:tr>
      <w:tr>
        <w:tc>
          <w:tcPr>
            <w:tcW w:type="dxa" w:w="4680"/>
            <w:tcBorders>
              <w:top w:val="single" w:color="CFE3CF" w:sz="4"/>
              <w:left w:val="single" w:color="CFE3CF" w:sz="4"/>
              <w:bottom w:val="single" w:color="CFE3CF" w:sz="4"/>
              <w:right w:val="single" w:color="CFE3CF" w:sz="4"/>
            </w:tcBorders>
            <w:shd w:fill="FFFFFF" w:val="clear"/>
            <w:tcMar>
              <w:top w:type="dxa" w:w="100"/>
              <w:left w:type="dxa" w:w="140"/>
              <w:bottom w:type="dxa" w:w="100"/>
              <w:right w:type="dxa" w:w="140"/>
            </w:tcMar>
            <w:vAlign w:val="center"/>
          </w:tcPr>
          <w:p>
            <w:pPr>
              <w:jc w:val="left"/>
            </w:pPr>
            <w:r>
              <w:rPr>
                <w:b w:val="false"/>
                <w:bCs w:val="false"/>
                <w:color w:val="1A1A1A"/>
                <w:sz w:val="20"/>
                <w:szCs w:val="20"/>
              </w:rPr>
              <w:t xml:space="preserve">Matériel d'entraînement</w:t>
            </w:r>
          </w:p>
        </w:tc>
        <w:tc>
          <w:tcPr>
            <w:tcW w:type="dxa" w:w="4680"/>
            <w:tcBorders>
              <w:top w:val="single" w:color="CFE3CF" w:sz="4"/>
              <w:left w:val="single" w:color="CFE3CF" w:sz="4"/>
              <w:bottom w:val="single" w:color="CFE3CF" w:sz="4"/>
              <w:right w:val="single" w:color="CFE3CF" w:sz="4"/>
            </w:tcBorders>
            <w:shd w:fill="FFFFFF" w:val="clear"/>
            <w:tcMar>
              <w:top w:type="dxa" w:w="100"/>
              <w:left w:type="dxa" w:w="140"/>
              <w:bottom w:type="dxa" w:w="100"/>
              <w:right w:type="dxa" w:w="140"/>
            </w:tcMar>
            <w:vAlign w:val="center"/>
          </w:tcPr>
          <w:p>
            <w:pPr>
              <w:jc w:val="center"/>
            </w:pPr>
            <w:r>
              <w:rPr>
                <w:b w:val="false"/>
                <w:bCs w:val="false"/>
                <w:color w:val="1A1A1A"/>
                <w:sz w:val="20"/>
                <w:szCs w:val="20"/>
              </w:rPr>
              <w:t xml:space="preserve">GPU (Google Colab — CUDA)</w:t>
            </w:r>
          </w:p>
        </w:tc>
      </w:tr>
    </w:tbl>
    <w:p>
      <w:r>
        <w:br w:type="page"/>
      </w:r>
    </w:p>
    <w:p>
      <w:pPr>
        <w:pStyle w:val="Heading1"/>
      </w:pPr>
      <w:r>
        <w:t xml:space="preserve">4. Améliorations Apportées</w:t>
      </w:r>
    </w:p>
    <w:p>
      <w:pPr>
        <w:spacing w:after="160" w:line="276"/>
      </w:pPr>
      <w:r>
        <w:t xml:space="preserve">Le code original a été revu et optimisé sur les points suivants :</w:t>
      </w:r>
    </w:p>
    <w:p>
      <w:pPr>
        <w:pStyle w:val="ListParagraph"/>
        <w:numPr>
          <w:ilvl w:val="0"/>
          <w:numId w:val="2"/>
        </w:numPr>
        <w:spacing w:after="100" w:line="276"/>
      </w:pPr>
      <w:r>
        <w:rPr>
          <w:b/>
          <w:bCs/>
        </w:rPr>
        <w:t xml:space="preserve">Évaluation sur le set de validation : </w:t>
      </w:r>
      <w:r>
        <w:t xml:space="preserve">la boucle d'entraînement a été enrichie pour calculer et afficher non seulement les performances sur les données d'entraînement, mais aussi sur les données de validation à chaque époque.</w:t>
      </w:r>
    </w:p>
    <w:p>
      <w:pPr>
        <w:pStyle w:val="ListParagraph"/>
        <w:numPr>
          <w:ilvl w:val="0"/>
          <w:numId w:val="2"/>
        </w:numPr>
        <w:spacing w:after="100" w:line="276"/>
      </w:pPr>
      <w:r>
        <w:rPr>
          <w:b/>
          <w:bCs/>
        </w:rPr>
        <w:t xml:space="preserve">Sauvegarde du meilleur modèle (Model Checkpointing) : </w:t>
      </w:r>
      <w:r>
        <w:t xml:space="preserve">le code surveille désormais l'accuracy de validation. À la fin de l'entraînement, les poids du modèle restitués sont ceux qui ont obtenu la meilleure performance sur la validation, prévenant ainsi toute dégradation due à l'overfitting sur les dernières époques.</w:t>
      </w:r>
    </w:p>
    <w:p>
      <w:pPr>
        <w:pStyle w:val="ListParagraph"/>
        <w:numPr>
          <w:ilvl w:val="0"/>
          <w:numId w:val="2"/>
        </w:numPr>
        <w:spacing w:after="100" w:line="276"/>
      </w:pPr>
      <w:r>
        <w:rPr>
          <w:b/>
          <w:bCs/>
        </w:rPr>
        <w:t xml:space="preserve">Rapport de classification : </w:t>
      </w:r>
      <w:r>
        <w:t xml:space="preserve">une analyse plus fine a été ajoutée. Lors de l'évaluation sur le test set, en plus de la matrice de confusion, un classification_report (Scikit-Learn) est généré pour fournir la précision, le rappel et le score F1 pour chacune des 38 classes.</w:t>
      </w:r>
    </w:p>
    <w:p>
      <w:pPr>
        <w:pStyle w:val="Heading1"/>
      </w:pPr>
      <w:r>
        <w:t xml:space="preserve">5. Exécution et Résultats</w:t>
      </w:r>
    </w:p>
    <w:p>
      <w:pPr>
        <w:pStyle w:val="ListParagraph"/>
        <w:numPr>
          <w:ilvl w:val="0"/>
          <w:numId w:val="2"/>
        </w:numPr>
        <w:spacing w:after="100" w:line="276"/>
      </w:pPr>
      <w:r>
        <w:rPr>
          <w:b/>
          <w:bCs/>
        </w:rPr>
        <w:t xml:space="preserve">Environnement : </w:t>
      </w:r>
      <w:r>
        <w:t xml:space="preserve">conçu pour s'exécuter dans un environnement type Google Colab (avec accélération GPU).</w:t>
      </w:r>
    </w:p>
    <w:p>
      <w:pPr>
        <w:pStyle w:val="ListParagraph"/>
        <w:numPr>
          <w:ilvl w:val="0"/>
          <w:numId w:val="2"/>
        </w:numPr>
        <w:spacing w:after="100" w:line="276"/>
      </w:pPr>
      <w:r>
        <w:rPr>
          <w:b/>
          <w:bCs/>
        </w:rPr>
        <w:t xml:space="preserve">Déploiement : </w:t>
      </w:r>
      <w:r>
        <w:t xml:space="preserve">le modèle entraîné est exporté sous la forme du fichier plant_resnet50_v1.pth (poids du réseau) pour pouvoir être chargé ultérieurement dans une application web ou mobile d'inférence.</w:t>
      </w:r>
    </w:p>
    <w:p>
      <w:pPr>
        <w:pStyle w:val="Heading2"/>
      </w:pPr>
      <w:r>
        <w:t xml:space="preserve">5.1 Évolution de l'entraînement</w:t>
      </w:r>
    </w:p>
    <w:p>
      <w:pPr>
        <w:spacing w:after="160" w:line="276"/>
      </w:pPr>
      <w:r>
        <w:t xml:space="preserve">Le tableau ci-dessous présente l'évolution de la perte (loss) et de l'accuracy sur le jeu d'entraînement au fil des 10 époques. On observe une convergence rapide et stable du modèle, avec une accuracy d'entraînement dépassant 98 % dès la 6e époque.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FE3CF" w:sz="4"/>
              <w:left w:val="single" w:color="CFE3CF" w:sz="4"/>
              <w:bottom w:val="single" w:color="CFE3CF" w:sz="4"/>
              <w:right w:val="single" w:color="CFE3CF" w:sz="4"/>
            </w:tcBorders>
            <w:shd w:fill="2E7D32" w:val="clear"/>
            <w:tcMar>
              <w:top w:type="dxa" w:w="100"/>
              <w:left w:type="dxa" w:w="140"/>
              <w:bottom w:type="dxa" w:w="100"/>
              <w:right w:type="dxa" w:w="140"/>
            </w:tcMar>
            <w:vAlign w:val="center"/>
          </w:tcPr>
          <w:p>
            <w:pPr>
              <w:jc w:val="left"/>
            </w:pPr>
            <w:r>
              <w:rPr>
                <w:b/>
                <w:bCs/>
                <w:color w:val="FFFFFF"/>
                <w:sz w:val="20"/>
                <w:szCs w:val="20"/>
              </w:rPr>
              <w:t xml:space="preserve">Époque</w:t>
            </w:r>
          </w:p>
        </w:tc>
        <w:tc>
          <w:tcPr>
            <w:tcW w:type="dxa" w:w="3580"/>
            <w:tcBorders>
              <w:top w:val="single" w:color="CFE3CF" w:sz="4"/>
              <w:left w:val="single" w:color="CFE3CF" w:sz="4"/>
              <w:bottom w:val="single" w:color="CFE3CF" w:sz="4"/>
              <w:right w:val="single" w:color="CFE3CF" w:sz="4"/>
            </w:tcBorders>
            <w:shd w:fill="2E7D32" w:val="clear"/>
            <w:tcMar>
              <w:top w:type="dxa" w:w="100"/>
              <w:left w:type="dxa" w:w="140"/>
              <w:bottom w:type="dxa" w:w="100"/>
              <w:right w:type="dxa" w:w="140"/>
            </w:tcMar>
            <w:vAlign w:val="center"/>
          </w:tcPr>
          <w:p>
            <w:pPr>
              <w:jc w:val="center"/>
            </w:pPr>
            <w:r>
              <w:rPr>
                <w:b/>
                <w:bCs/>
                <w:color w:val="FFFFFF"/>
                <w:sz w:val="20"/>
                <w:szCs w:val="20"/>
              </w:rPr>
              <w:t xml:space="preserve">Loss (entraînement)</w:t>
            </w:r>
          </w:p>
        </w:tc>
        <w:tc>
          <w:tcPr>
            <w:tcW w:type="dxa" w:w="3580"/>
            <w:tcBorders>
              <w:top w:val="single" w:color="CFE3CF" w:sz="4"/>
              <w:left w:val="single" w:color="CFE3CF" w:sz="4"/>
              <w:bottom w:val="single" w:color="CFE3CF" w:sz="4"/>
              <w:right w:val="single" w:color="CFE3CF" w:sz="4"/>
            </w:tcBorders>
            <w:shd w:fill="2E7D32" w:val="clear"/>
            <w:tcMar>
              <w:top w:type="dxa" w:w="100"/>
              <w:left w:type="dxa" w:w="140"/>
              <w:bottom w:type="dxa" w:w="100"/>
              <w:right w:type="dxa" w:w="140"/>
            </w:tcMar>
            <w:vAlign w:val="center"/>
          </w:tcPr>
          <w:p>
            <w:pPr>
              <w:jc w:val="center"/>
            </w:pPr>
            <w:r>
              <w:rPr>
                <w:b/>
                <w:bCs/>
                <w:color w:val="FFFFFF"/>
                <w:sz w:val="20"/>
                <w:szCs w:val="20"/>
              </w:rPr>
              <w:t xml:space="preserve">Accuracy (entraînement)</w:t>
            </w:r>
          </w:p>
        </w:tc>
      </w:tr>
      <w:tr>
        <w:tc>
          <w:tcPr>
            <w:tcW w:type="dxa" w:w="2200"/>
            <w:tcBorders>
              <w:top w:val="single" w:color="CFE3CF" w:sz="4"/>
              <w:left w:val="single" w:color="CFE3CF" w:sz="4"/>
              <w:bottom w:val="single" w:color="CFE3CF" w:sz="4"/>
              <w:right w:val="single" w:color="CFE3CF" w:sz="4"/>
            </w:tcBorders>
            <w:shd w:fill="FFFFFF" w:val="clear"/>
            <w:tcMar>
              <w:top w:type="dxa" w:w="100"/>
              <w:left w:type="dxa" w:w="140"/>
              <w:bottom w:type="dxa" w:w="100"/>
              <w:right w:type="dxa" w:w="140"/>
            </w:tcMar>
            <w:vAlign w:val="center"/>
          </w:tcPr>
          <w:p>
            <w:pPr>
              <w:jc w:val="left"/>
            </w:pPr>
            <w:r>
              <w:rPr>
                <w:b w:val="false"/>
                <w:bCs w:val="false"/>
                <w:color w:val="1A1A1A"/>
                <w:sz w:val="20"/>
                <w:szCs w:val="20"/>
              </w:rPr>
              <w:t xml:space="preserve">1</w:t>
            </w:r>
          </w:p>
        </w:tc>
        <w:tc>
          <w:tcPr>
            <w:tcW w:type="dxa" w:w="3580"/>
            <w:tcBorders>
              <w:top w:val="single" w:color="CFE3CF" w:sz="4"/>
              <w:left w:val="single" w:color="CFE3CF" w:sz="4"/>
              <w:bottom w:val="single" w:color="CFE3CF" w:sz="4"/>
              <w:right w:val="single" w:color="CFE3CF" w:sz="4"/>
            </w:tcBorders>
            <w:shd w:fill="FFFFFF" w:val="clear"/>
            <w:tcMar>
              <w:top w:type="dxa" w:w="100"/>
              <w:left w:type="dxa" w:w="140"/>
              <w:bottom w:type="dxa" w:w="100"/>
              <w:right w:type="dxa" w:w="140"/>
            </w:tcMar>
            <w:vAlign w:val="center"/>
          </w:tcPr>
          <w:p>
            <w:pPr>
              <w:jc w:val="center"/>
            </w:pPr>
            <w:r>
              <w:rPr>
                <w:b w:val="false"/>
                <w:bCs w:val="false"/>
                <w:color w:val="1A1A1A"/>
                <w:sz w:val="20"/>
                <w:szCs w:val="20"/>
              </w:rPr>
              <w:t xml:space="preserve">0.6103</w:t>
            </w:r>
          </w:p>
        </w:tc>
        <w:tc>
          <w:tcPr>
            <w:tcW w:type="dxa" w:w="3580"/>
            <w:tcBorders>
              <w:top w:val="single" w:color="CFE3CF" w:sz="4"/>
              <w:left w:val="single" w:color="CFE3CF" w:sz="4"/>
              <w:bottom w:val="single" w:color="CFE3CF" w:sz="4"/>
              <w:right w:val="single" w:color="CFE3CF" w:sz="4"/>
            </w:tcBorders>
            <w:shd w:fill="FFFFFF" w:val="clear"/>
            <w:tcMar>
              <w:top w:type="dxa" w:w="100"/>
              <w:left w:type="dxa" w:w="140"/>
              <w:bottom w:type="dxa" w:w="100"/>
              <w:right w:type="dxa" w:w="140"/>
            </w:tcMar>
            <w:vAlign w:val="center"/>
          </w:tcPr>
          <w:p>
            <w:pPr>
              <w:jc w:val="center"/>
            </w:pPr>
            <w:r>
              <w:rPr>
                <w:b w:val="false"/>
                <w:bCs w:val="false"/>
                <w:color w:val="1A1A1A"/>
                <w:sz w:val="20"/>
                <w:szCs w:val="20"/>
              </w:rPr>
              <w:t xml:space="preserve">87.43 %</w:t>
            </w:r>
          </w:p>
        </w:tc>
      </w:tr>
      <w:tr>
        <w:tc>
          <w:tcPr>
            <w:tcW w:type="dxa" w:w="2200"/>
            <w:tcBorders>
              <w:top w:val="single" w:color="CFE3CF" w:sz="4"/>
              <w:left w:val="single" w:color="CFE3CF" w:sz="4"/>
              <w:bottom w:val="single" w:color="CFE3CF" w:sz="4"/>
              <w:right w:val="single" w:color="CFE3CF" w:sz="4"/>
            </w:tcBorders>
            <w:shd w:fill="EAF3EA" w:val="clear"/>
            <w:tcMar>
              <w:top w:type="dxa" w:w="100"/>
              <w:left w:type="dxa" w:w="140"/>
              <w:bottom w:type="dxa" w:w="100"/>
              <w:right w:type="dxa" w:w="140"/>
            </w:tcMar>
            <w:vAlign w:val="center"/>
          </w:tcPr>
          <w:p>
            <w:pPr>
              <w:jc w:val="left"/>
            </w:pPr>
            <w:r>
              <w:rPr>
                <w:b w:val="false"/>
                <w:bCs w:val="false"/>
                <w:color w:val="1A1A1A"/>
                <w:sz w:val="20"/>
                <w:szCs w:val="20"/>
              </w:rPr>
              <w:t xml:space="preserve">2</w:t>
            </w:r>
          </w:p>
        </w:tc>
        <w:tc>
          <w:tcPr>
            <w:tcW w:type="dxa" w:w="3580"/>
            <w:tcBorders>
              <w:top w:val="single" w:color="CFE3CF" w:sz="4"/>
              <w:left w:val="single" w:color="CFE3CF" w:sz="4"/>
              <w:bottom w:val="single" w:color="CFE3CF" w:sz="4"/>
              <w:right w:val="single" w:color="CFE3CF" w:sz="4"/>
            </w:tcBorders>
            <w:shd w:fill="EAF3EA" w:val="clear"/>
            <w:tcMar>
              <w:top w:type="dxa" w:w="100"/>
              <w:left w:type="dxa" w:w="140"/>
              <w:bottom w:type="dxa" w:w="100"/>
              <w:right w:type="dxa" w:w="140"/>
            </w:tcMar>
            <w:vAlign w:val="center"/>
          </w:tcPr>
          <w:p>
            <w:pPr>
              <w:jc w:val="center"/>
            </w:pPr>
            <w:r>
              <w:rPr>
                <w:b w:val="false"/>
                <w:bCs w:val="false"/>
                <w:color w:val="1A1A1A"/>
                <w:sz w:val="20"/>
                <w:szCs w:val="20"/>
              </w:rPr>
              <w:t xml:space="preserve">0.1883</w:t>
            </w:r>
          </w:p>
        </w:tc>
        <w:tc>
          <w:tcPr>
            <w:tcW w:type="dxa" w:w="3580"/>
            <w:tcBorders>
              <w:top w:val="single" w:color="CFE3CF" w:sz="4"/>
              <w:left w:val="single" w:color="CFE3CF" w:sz="4"/>
              <w:bottom w:val="single" w:color="CFE3CF" w:sz="4"/>
              <w:right w:val="single" w:color="CFE3CF" w:sz="4"/>
            </w:tcBorders>
            <w:shd w:fill="EAF3EA" w:val="clear"/>
            <w:tcMar>
              <w:top w:type="dxa" w:w="100"/>
              <w:left w:type="dxa" w:w="140"/>
              <w:bottom w:type="dxa" w:w="100"/>
              <w:right w:type="dxa" w:w="140"/>
            </w:tcMar>
            <w:vAlign w:val="center"/>
          </w:tcPr>
          <w:p>
            <w:pPr>
              <w:jc w:val="center"/>
            </w:pPr>
            <w:r>
              <w:rPr>
                <w:b w:val="false"/>
                <w:bCs w:val="false"/>
                <w:color w:val="1A1A1A"/>
                <w:sz w:val="20"/>
                <w:szCs w:val="20"/>
              </w:rPr>
              <w:t xml:space="preserve">95.70 %</w:t>
            </w:r>
          </w:p>
        </w:tc>
      </w:tr>
      <w:tr>
        <w:tc>
          <w:tcPr>
            <w:tcW w:type="dxa" w:w="2200"/>
            <w:tcBorders>
              <w:top w:val="single" w:color="CFE3CF" w:sz="4"/>
              <w:left w:val="single" w:color="CFE3CF" w:sz="4"/>
              <w:bottom w:val="single" w:color="CFE3CF" w:sz="4"/>
              <w:right w:val="single" w:color="CFE3CF" w:sz="4"/>
            </w:tcBorders>
            <w:shd w:fill="FFFFFF" w:val="clear"/>
            <w:tcMar>
              <w:top w:type="dxa" w:w="100"/>
              <w:left w:type="dxa" w:w="140"/>
              <w:bottom w:type="dxa" w:w="100"/>
              <w:right w:type="dxa" w:w="140"/>
            </w:tcMar>
            <w:vAlign w:val="center"/>
          </w:tcPr>
          <w:p>
            <w:pPr>
              <w:jc w:val="left"/>
            </w:pPr>
            <w:r>
              <w:rPr>
                <w:b w:val="false"/>
                <w:bCs w:val="false"/>
                <w:color w:val="1A1A1A"/>
                <w:sz w:val="20"/>
                <w:szCs w:val="20"/>
              </w:rPr>
              <w:t xml:space="preserve">3</w:t>
            </w:r>
          </w:p>
        </w:tc>
        <w:tc>
          <w:tcPr>
            <w:tcW w:type="dxa" w:w="3580"/>
            <w:tcBorders>
              <w:top w:val="single" w:color="CFE3CF" w:sz="4"/>
              <w:left w:val="single" w:color="CFE3CF" w:sz="4"/>
              <w:bottom w:val="single" w:color="CFE3CF" w:sz="4"/>
              <w:right w:val="single" w:color="CFE3CF" w:sz="4"/>
            </w:tcBorders>
            <w:shd w:fill="FFFFFF" w:val="clear"/>
            <w:tcMar>
              <w:top w:type="dxa" w:w="100"/>
              <w:left w:type="dxa" w:w="140"/>
              <w:bottom w:type="dxa" w:w="100"/>
              <w:right w:type="dxa" w:w="140"/>
            </w:tcMar>
            <w:vAlign w:val="center"/>
          </w:tcPr>
          <w:p>
            <w:pPr>
              <w:jc w:val="center"/>
            </w:pPr>
            <w:r>
              <w:rPr>
                <w:b w:val="false"/>
                <w:bCs w:val="false"/>
                <w:color w:val="1A1A1A"/>
                <w:sz w:val="20"/>
                <w:szCs w:val="20"/>
              </w:rPr>
              <w:t xml:space="preserve">0.1280</w:t>
            </w:r>
          </w:p>
        </w:tc>
        <w:tc>
          <w:tcPr>
            <w:tcW w:type="dxa" w:w="3580"/>
            <w:tcBorders>
              <w:top w:val="single" w:color="CFE3CF" w:sz="4"/>
              <w:left w:val="single" w:color="CFE3CF" w:sz="4"/>
              <w:bottom w:val="single" w:color="CFE3CF" w:sz="4"/>
              <w:right w:val="single" w:color="CFE3CF" w:sz="4"/>
            </w:tcBorders>
            <w:shd w:fill="FFFFFF" w:val="clear"/>
            <w:tcMar>
              <w:top w:type="dxa" w:w="100"/>
              <w:left w:type="dxa" w:w="140"/>
              <w:bottom w:type="dxa" w:w="100"/>
              <w:right w:type="dxa" w:w="140"/>
            </w:tcMar>
            <w:vAlign w:val="center"/>
          </w:tcPr>
          <w:p>
            <w:pPr>
              <w:jc w:val="center"/>
            </w:pPr>
            <w:r>
              <w:rPr>
                <w:b w:val="false"/>
                <w:bCs w:val="false"/>
                <w:color w:val="1A1A1A"/>
                <w:sz w:val="20"/>
                <w:szCs w:val="20"/>
              </w:rPr>
              <w:t xml:space="preserve">96.91 %</w:t>
            </w:r>
          </w:p>
        </w:tc>
      </w:tr>
      <w:tr>
        <w:tc>
          <w:tcPr>
            <w:tcW w:type="dxa" w:w="2200"/>
            <w:tcBorders>
              <w:top w:val="single" w:color="CFE3CF" w:sz="4"/>
              <w:left w:val="single" w:color="CFE3CF" w:sz="4"/>
              <w:bottom w:val="single" w:color="CFE3CF" w:sz="4"/>
              <w:right w:val="single" w:color="CFE3CF" w:sz="4"/>
            </w:tcBorders>
            <w:shd w:fill="EAF3EA" w:val="clear"/>
            <w:tcMar>
              <w:top w:type="dxa" w:w="100"/>
              <w:left w:type="dxa" w:w="140"/>
              <w:bottom w:type="dxa" w:w="100"/>
              <w:right w:type="dxa" w:w="140"/>
            </w:tcMar>
            <w:vAlign w:val="center"/>
          </w:tcPr>
          <w:p>
            <w:pPr>
              <w:jc w:val="left"/>
            </w:pPr>
            <w:r>
              <w:rPr>
                <w:b w:val="false"/>
                <w:bCs w:val="false"/>
                <w:color w:val="1A1A1A"/>
                <w:sz w:val="20"/>
                <w:szCs w:val="20"/>
              </w:rPr>
              <w:t xml:space="preserve">4</w:t>
            </w:r>
          </w:p>
        </w:tc>
        <w:tc>
          <w:tcPr>
            <w:tcW w:type="dxa" w:w="3580"/>
            <w:tcBorders>
              <w:top w:val="single" w:color="CFE3CF" w:sz="4"/>
              <w:left w:val="single" w:color="CFE3CF" w:sz="4"/>
              <w:bottom w:val="single" w:color="CFE3CF" w:sz="4"/>
              <w:right w:val="single" w:color="CFE3CF" w:sz="4"/>
            </w:tcBorders>
            <w:shd w:fill="EAF3EA" w:val="clear"/>
            <w:tcMar>
              <w:top w:type="dxa" w:w="100"/>
              <w:left w:type="dxa" w:w="140"/>
              <w:bottom w:type="dxa" w:w="100"/>
              <w:right w:type="dxa" w:w="140"/>
            </w:tcMar>
            <w:vAlign w:val="center"/>
          </w:tcPr>
          <w:p>
            <w:pPr>
              <w:jc w:val="center"/>
            </w:pPr>
            <w:r>
              <w:rPr>
                <w:b w:val="false"/>
                <w:bCs w:val="false"/>
                <w:color w:val="1A1A1A"/>
                <w:sz w:val="20"/>
                <w:szCs w:val="20"/>
              </w:rPr>
              <w:t xml:space="preserve">0.0988</w:t>
            </w:r>
          </w:p>
        </w:tc>
        <w:tc>
          <w:tcPr>
            <w:tcW w:type="dxa" w:w="3580"/>
            <w:tcBorders>
              <w:top w:val="single" w:color="CFE3CF" w:sz="4"/>
              <w:left w:val="single" w:color="CFE3CF" w:sz="4"/>
              <w:bottom w:val="single" w:color="CFE3CF" w:sz="4"/>
              <w:right w:val="single" w:color="CFE3CF" w:sz="4"/>
            </w:tcBorders>
            <w:shd w:fill="EAF3EA" w:val="clear"/>
            <w:tcMar>
              <w:top w:type="dxa" w:w="100"/>
              <w:left w:type="dxa" w:w="140"/>
              <w:bottom w:type="dxa" w:w="100"/>
              <w:right w:type="dxa" w:w="140"/>
            </w:tcMar>
            <w:vAlign w:val="center"/>
          </w:tcPr>
          <w:p>
            <w:pPr>
              <w:jc w:val="center"/>
            </w:pPr>
            <w:r>
              <w:rPr>
                <w:b w:val="false"/>
                <w:bCs w:val="false"/>
                <w:color w:val="1A1A1A"/>
                <w:sz w:val="20"/>
                <w:szCs w:val="20"/>
              </w:rPr>
              <w:t xml:space="preserve">97.54 %</w:t>
            </w:r>
          </w:p>
        </w:tc>
      </w:tr>
      <w:tr>
        <w:tc>
          <w:tcPr>
            <w:tcW w:type="dxa" w:w="2200"/>
            <w:tcBorders>
              <w:top w:val="single" w:color="CFE3CF" w:sz="4"/>
              <w:left w:val="single" w:color="CFE3CF" w:sz="4"/>
              <w:bottom w:val="single" w:color="CFE3CF" w:sz="4"/>
              <w:right w:val="single" w:color="CFE3CF" w:sz="4"/>
            </w:tcBorders>
            <w:shd w:fill="FFFFFF" w:val="clear"/>
            <w:tcMar>
              <w:top w:type="dxa" w:w="100"/>
              <w:left w:type="dxa" w:w="140"/>
              <w:bottom w:type="dxa" w:w="100"/>
              <w:right w:type="dxa" w:w="140"/>
            </w:tcMar>
            <w:vAlign w:val="center"/>
          </w:tcPr>
          <w:p>
            <w:pPr>
              <w:jc w:val="left"/>
            </w:pPr>
            <w:r>
              <w:rPr>
                <w:b w:val="false"/>
                <w:bCs w:val="false"/>
                <w:color w:val="1A1A1A"/>
                <w:sz w:val="20"/>
                <w:szCs w:val="20"/>
              </w:rPr>
              <w:t xml:space="preserve">5</w:t>
            </w:r>
          </w:p>
        </w:tc>
        <w:tc>
          <w:tcPr>
            <w:tcW w:type="dxa" w:w="3580"/>
            <w:tcBorders>
              <w:top w:val="single" w:color="CFE3CF" w:sz="4"/>
              <w:left w:val="single" w:color="CFE3CF" w:sz="4"/>
              <w:bottom w:val="single" w:color="CFE3CF" w:sz="4"/>
              <w:right w:val="single" w:color="CFE3CF" w:sz="4"/>
            </w:tcBorders>
            <w:shd w:fill="FFFFFF" w:val="clear"/>
            <w:tcMar>
              <w:top w:type="dxa" w:w="100"/>
              <w:left w:type="dxa" w:w="140"/>
              <w:bottom w:type="dxa" w:w="100"/>
              <w:right w:type="dxa" w:w="140"/>
            </w:tcMar>
            <w:vAlign w:val="center"/>
          </w:tcPr>
          <w:p>
            <w:pPr>
              <w:jc w:val="center"/>
            </w:pPr>
            <w:r>
              <w:rPr>
                <w:b w:val="false"/>
                <w:bCs w:val="false"/>
                <w:color w:val="1A1A1A"/>
                <w:sz w:val="20"/>
                <w:szCs w:val="20"/>
              </w:rPr>
              <w:t xml:space="preserve">0.0812</w:t>
            </w:r>
          </w:p>
        </w:tc>
        <w:tc>
          <w:tcPr>
            <w:tcW w:type="dxa" w:w="3580"/>
            <w:tcBorders>
              <w:top w:val="single" w:color="CFE3CF" w:sz="4"/>
              <w:left w:val="single" w:color="CFE3CF" w:sz="4"/>
              <w:bottom w:val="single" w:color="CFE3CF" w:sz="4"/>
              <w:right w:val="single" w:color="CFE3CF" w:sz="4"/>
            </w:tcBorders>
            <w:shd w:fill="FFFFFF" w:val="clear"/>
            <w:tcMar>
              <w:top w:type="dxa" w:w="100"/>
              <w:left w:type="dxa" w:w="140"/>
              <w:bottom w:type="dxa" w:w="100"/>
              <w:right w:type="dxa" w:w="140"/>
            </w:tcMar>
            <w:vAlign w:val="center"/>
          </w:tcPr>
          <w:p>
            <w:pPr>
              <w:jc w:val="center"/>
            </w:pPr>
            <w:r>
              <w:rPr>
                <w:b w:val="false"/>
                <w:bCs w:val="false"/>
                <w:color w:val="1A1A1A"/>
                <w:sz w:val="20"/>
                <w:szCs w:val="20"/>
              </w:rPr>
              <w:t xml:space="preserve">97.91 %</w:t>
            </w:r>
          </w:p>
        </w:tc>
      </w:tr>
      <w:tr>
        <w:tc>
          <w:tcPr>
            <w:tcW w:type="dxa" w:w="2200"/>
            <w:tcBorders>
              <w:top w:val="single" w:color="CFE3CF" w:sz="4"/>
              <w:left w:val="single" w:color="CFE3CF" w:sz="4"/>
              <w:bottom w:val="single" w:color="CFE3CF" w:sz="4"/>
              <w:right w:val="single" w:color="CFE3CF" w:sz="4"/>
            </w:tcBorders>
            <w:shd w:fill="EAF3EA" w:val="clear"/>
            <w:tcMar>
              <w:top w:type="dxa" w:w="100"/>
              <w:left w:type="dxa" w:w="140"/>
              <w:bottom w:type="dxa" w:w="100"/>
              <w:right w:type="dxa" w:w="140"/>
            </w:tcMar>
            <w:vAlign w:val="center"/>
          </w:tcPr>
          <w:p>
            <w:pPr>
              <w:jc w:val="left"/>
            </w:pPr>
            <w:r>
              <w:rPr>
                <w:b w:val="false"/>
                <w:bCs w:val="false"/>
                <w:color w:val="1A1A1A"/>
                <w:sz w:val="20"/>
                <w:szCs w:val="20"/>
              </w:rPr>
              <w:t xml:space="preserve">6</w:t>
            </w:r>
          </w:p>
        </w:tc>
        <w:tc>
          <w:tcPr>
            <w:tcW w:type="dxa" w:w="3580"/>
            <w:tcBorders>
              <w:top w:val="single" w:color="CFE3CF" w:sz="4"/>
              <w:left w:val="single" w:color="CFE3CF" w:sz="4"/>
              <w:bottom w:val="single" w:color="CFE3CF" w:sz="4"/>
              <w:right w:val="single" w:color="CFE3CF" w:sz="4"/>
            </w:tcBorders>
            <w:shd w:fill="EAF3EA" w:val="clear"/>
            <w:tcMar>
              <w:top w:type="dxa" w:w="100"/>
              <w:left w:type="dxa" w:w="140"/>
              <w:bottom w:type="dxa" w:w="100"/>
              <w:right w:type="dxa" w:w="140"/>
            </w:tcMar>
            <w:vAlign w:val="center"/>
          </w:tcPr>
          <w:p>
            <w:pPr>
              <w:jc w:val="center"/>
            </w:pPr>
            <w:r>
              <w:rPr>
                <w:b w:val="false"/>
                <w:bCs w:val="false"/>
                <w:color w:val="1A1A1A"/>
                <w:sz w:val="20"/>
                <w:szCs w:val="20"/>
              </w:rPr>
              <w:t xml:space="preserve">0.0691</w:t>
            </w:r>
          </w:p>
        </w:tc>
        <w:tc>
          <w:tcPr>
            <w:tcW w:type="dxa" w:w="3580"/>
            <w:tcBorders>
              <w:top w:val="single" w:color="CFE3CF" w:sz="4"/>
              <w:left w:val="single" w:color="CFE3CF" w:sz="4"/>
              <w:bottom w:val="single" w:color="CFE3CF" w:sz="4"/>
              <w:right w:val="single" w:color="CFE3CF" w:sz="4"/>
            </w:tcBorders>
            <w:shd w:fill="EAF3EA" w:val="clear"/>
            <w:tcMar>
              <w:top w:type="dxa" w:w="100"/>
              <w:left w:type="dxa" w:w="140"/>
              <w:bottom w:type="dxa" w:w="100"/>
              <w:right w:type="dxa" w:w="140"/>
            </w:tcMar>
            <w:vAlign w:val="center"/>
          </w:tcPr>
          <w:p>
            <w:pPr>
              <w:jc w:val="center"/>
            </w:pPr>
            <w:r>
              <w:rPr>
                <w:b w:val="false"/>
                <w:bCs w:val="false"/>
                <w:color w:val="1A1A1A"/>
                <w:sz w:val="20"/>
                <w:szCs w:val="20"/>
              </w:rPr>
              <w:t xml:space="preserve">98.21 %</w:t>
            </w:r>
          </w:p>
        </w:tc>
      </w:tr>
      <w:tr>
        <w:tc>
          <w:tcPr>
            <w:tcW w:type="dxa" w:w="2200"/>
            <w:tcBorders>
              <w:top w:val="single" w:color="CFE3CF" w:sz="4"/>
              <w:left w:val="single" w:color="CFE3CF" w:sz="4"/>
              <w:bottom w:val="single" w:color="CFE3CF" w:sz="4"/>
              <w:right w:val="single" w:color="CFE3CF" w:sz="4"/>
            </w:tcBorders>
            <w:shd w:fill="FFFFFF" w:val="clear"/>
            <w:tcMar>
              <w:top w:type="dxa" w:w="100"/>
              <w:left w:type="dxa" w:w="140"/>
              <w:bottom w:type="dxa" w:w="100"/>
              <w:right w:type="dxa" w:w="140"/>
            </w:tcMar>
            <w:vAlign w:val="center"/>
          </w:tcPr>
          <w:p>
            <w:pPr>
              <w:jc w:val="left"/>
            </w:pPr>
            <w:r>
              <w:rPr>
                <w:b w:val="false"/>
                <w:bCs w:val="false"/>
                <w:color w:val="1A1A1A"/>
                <w:sz w:val="20"/>
                <w:szCs w:val="20"/>
              </w:rPr>
              <w:t xml:space="preserve">7</w:t>
            </w:r>
          </w:p>
        </w:tc>
        <w:tc>
          <w:tcPr>
            <w:tcW w:type="dxa" w:w="3580"/>
            <w:tcBorders>
              <w:top w:val="single" w:color="CFE3CF" w:sz="4"/>
              <w:left w:val="single" w:color="CFE3CF" w:sz="4"/>
              <w:bottom w:val="single" w:color="CFE3CF" w:sz="4"/>
              <w:right w:val="single" w:color="CFE3CF" w:sz="4"/>
            </w:tcBorders>
            <w:shd w:fill="FFFFFF" w:val="clear"/>
            <w:tcMar>
              <w:top w:type="dxa" w:w="100"/>
              <w:left w:type="dxa" w:w="140"/>
              <w:bottom w:type="dxa" w:w="100"/>
              <w:right w:type="dxa" w:w="140"/>
            </w:tcMar>
            <w:vAlign w:val="center"/>
          </w:tcPr>
          <w:p>
            <w:pPr>
              <w:jc w:val="center"/>
            </w:pPr>
            <w:r>
              <w:rPr>
                <w:b w:val="false"/>
                <w:bCs w:val="false"/>
                <w:color w:val="1A1A1A"/>
                <w:sz w:val="20"/>
                <w:szCs w:val="20"/>
              </w:rPr>
              <w:t xml:space="preserve">0.0600</w:t>
            </w:r>
          </w:p>
        </w:tc>
        <w:tc>
          <w:tcPr>
            <w:tcW w:type="dxa" w:w="3580"/>
            <w:tcBorders>
              <w:top w:val="single" w:color="CFE3CF" w:sz="4"/>
              <w:left w:val="single" w:color="CFE3CF" w:sz="4"/>
              <w:bottom w:val="single" w:color="CFE3CF" w:sz="4"/>
              <w:right w:val="single" w:color="CFE3CF" w:sz="4"/>
            </w:tcBorders>
            <w:shd w:fill="FFFFFF" w:val="clear"/>
            <w:tcMar>
              <w:top w:type="dxa" w:w="100"/>
              <w:left w:type="dxa" w:w="140"/>
              <w:bottom w:type="dxa" w:w="100"/>
              <w:right w:type="dxa" w:w="140"/>
            </w:tcMar>
            <w:vAlign w:val="center"/>
          </w:tcPr>
          <w:p>
            <w:pPr>
              <w:jc w:val="center"/>
            </w:pPr>
            <w:r>
              <w:rPr>
                <w:b w:val="false"/>
                <w:bCs w:val="false"/>
                <w:color w:val="1A1A1A"/>
                <w:sz w:val="20"/>
                <w:szCs w:val="20"/>
              </w:rPr>
              <w:t xml:space="preserve">98.43 %</w:t>
            </w:r>
          </w:p>
        </w:tc>
      </w:tr>
      <w:tr>
        <w:tc>
          <w:tcPr>
            <w:tcW w:type="dxa" w:w="2200"/>
            <w:tcBorders>
              <w:top w:val="single" w:color="CFE3CF" w:sz="4"/>
              <w:left w:val="single" w:color="CFE3CF" w:sz="4"/>
              <w:bottom w:val="single" w:color="CFE3CF" w:sz="4"/>
              <w:right w:val="single" w:color="CFE3CF" w:sz="4"/>
            </w:tcBorders>
            <w:shd w:fill="EAF3EA" w:val="clear"/>
            <w:tcMar>
              <w:top w:type="dxa" w:w="100"/>
              <w:left w:type="dxa" w:w="140"/>
              <w:bottom w:type="dxa" w:w="100"/>
              <w:right w:type="dxa" w:w="140"/>
            </w:tcMar>
            <w:vAlign w:val="center"/>
          </w:tcPr>
          <w:p>
            <w:pPr>
              <w:jc w:val="left"/>
            </w:pPr>
            <w:r>
              <w:rPr>
                <w:b w:val="false"/>
                <w:bCs w:val="false"/>
                <w:color w:val="1A1A1A"/>
                <w:sz w:val="20"/>
                <w:szCs w:val="20"/>
              </w:rPr>
              <w:t xml:space="preserve">8</w:t>
            </w:r>
          </w:p>
        </w:tc>
        <w:tc>
          <w:tcPr>
            <w:tcW w:type="dxa" w:w="3580"/>
            <w:tcBorders>
              <w:top w:val="single" w:color="CFE3CF" w:sz="4"/>
              <w:left w:val="single" w:color="CFE3CF" w:sz="4"/>
              <w:bottom w:val="single" w:color="CFE3CF" w:sz="4"/>
              <w:right w:val="single" w:color="CFE3CF" w:sz="4"/>
            </w:tcBorders>
            <w:shd w:fill="EAF3EA" w:val="clear"/>
            <w:tcMar>
              <w:top w:type="dxa" w:w="100"/>
              <w:left w:type="dxa" w:w="140"/>
              <w:bottom w:type="dxa" w:w="100"/>
              <w:right w:type="dxa" w:w="140"/>
            </w:tcMar>
            <w:vAlign w:val="center"/>
          </w:tcPr>
          <w:p>
            <w:pPr>
              <w:jc w:val="center"/>
            </w:pPr>
            <w:r>
              <w:rPr>
                <w:b w:val="false"/>
                <w:bCs w:val="false"/>
                <w:color w:val="1A1A1A"/>
                <w:sz w:val="20"/>
                <w:szCs w:val="20"/>
              </w:rPr>
              <w:t xml:space="preserve">0.0538</w:t>
            </w:r>
          </w:p>
        </w:tc>
        <w:tc>
          <w:tcPr>
            <w:tcW w:type="dxa" w:w="3580"/>
            <w:tcBorders>
              <w:top w:val="single" w:color="CFE3CF" w:sz="4"/>
              <w:left w:val="single" w:color="CFE3CF" w:sz="4"/>
              <w:bottom w:val="single" w:color="CFE3CF" w:sz="4"/>
              <w:right w:val="single" w:color="CFE3CF" w:sz="4"/>
            </w:tcBorders>
            <w:shd w:fill="EAF3EA" w:val="clear"/>
            <w:tcMar>
              <w:top w:type="dxa" w:w="100"/>
              <w:left w:type="dxa" w:w="140"/>
              <w:bottom w:type="dxa" w:w="100"/>
              <w:right w:type="dxa" w:w="140"/>
            </w:tcMar>
            <w:vAlign w:val="center"/>
          </w:tcPr>
          <w:p>
            <w:pPr>
              <w:jc w:val="center"/>
            </w:pPr>
            <w:r>
              <w:rPr>
                <w:b w:val="false"/>
                <w:bCs w:val="false"/>
                <w:color w:val="1A1A1A"/>
                <w:sz w:val="20"/>
                <w:szCs w:val="20"/>
              </w:rPr>
              <w:t xml:space="preserve">98.59 %</w:t>
            </w:r>
          </w:p>
        </w:tc>
      </w:tr>
      <w:tr>
        <w:tc>
          <w:tcPr>
            <w:tcW w:type="dxa" w:w="2200"/>
            <w:tcBorders>
              <w:top w:val="single" w:color="CFE3CF" w:sz="4"/>
              <w:left w:val="single" w:color="CFE3CF" w:sz="4"/>
              <w:bottom w:val="single" w:color="CFE3CF" w:sz="4"/>
              <w:right w:val="single" w:color="CFE3CF" w:sz="4"/>
            </w:tcBorders>
            <w:shd w:fill="FFFFFF" w:val="clear"/>
            <w:tcMar>
              <w:top w:type="dxa" w:w="100"/>
              <w:left w:type="dxa" w:w="140"/>
              <w:bottom w:type="dxa" w:w="100"/>
              <w:right w:type="dxa" w:w="140"/>
            </w:tcMar>
            <w:vAlign w:val="center"/>
          </w:tcPr>
          <w:p>
            <w:pPr>
              <w:jc w:val="left"/>
            </w:pPr>
            <w:r>
              <w:rPr>
                <w:b w:val="false"/>
                <w:bCs w:val="false"/>
                <w:color w:val="1A1A1A"/>
                <w:sz w:val="20"/>
                <w:szCs w:val="20"/>
              </w:rPr>
              <w:t xml:space="preserve">9</w:t>
            </w:r>
          </w:p>
        </w:tc>
        <w:tc>
          <w:tcPr>
            <w:tcW w:type="dxa" w:w="3580"/>
            <w:tcBorders>
              <w:top w:val="single" w:color="CFE3CF" w:sz="4"/>
              <w:left w:val="single" w:color="CFE3CF" w:sz="4"/>
              <w:bottom w:val="single" w:color="CFE3CF" w:sz="4"/>
              <w:right w:val="single" w:color="CFE3CF" w:sz="4"/>
            </w:tcBorders>
            <w:shd w:fill="FFFFFF" w:val="clear"/>
            <w:tcMar>
              <w:top w:type="dxa" w:w="100"/>
              <w:left w:type="dxa" w:w="140"/>
              <w:bottom w:type="dxa" w:w="100"/>
              <w:right w:type="dxa" w:w="140"/>
            </w:tcMar>
            <w:vAlign w:val="center"/>
          </w:tcPr>
          <w:p>
            <w:pPr>
              <w:jc w:val="center"/>
            </w:pPr>
            <w:r>
              <w:rPr>
                <w:b w:val="false"/>
                <w:bCs w:val="false"/>
                <w:color w:val="1A1A1A"/>
                <w:sz w:val="20"/>
                <w:szCs w:val="20"/>
              </w:rPr>
              <w:t xml:space="preserve">0.0477</w:t>
            </w:r>
          </w:p>
        </w:tc>
        <w:tc>
          <w:tcPr>
            <w:tcW w:type="dxa" w:w="3580"/>
            <w:tcBorders>
              <w:top w:val="single" w:color="CFE3CF" w:sz="4"/>
              <w:left w:val="single" w:color="CFE3CF" w:sz="4"/>
              <w:bottom w:val="single" w:color="CFE3CF" w:sz="4"/>
              <w:right w:val="single" w:color="CFE3CF" w:sz="4"/>
            </w:tcBorders>
            <w:shd w:fill="FFFFFF" w:val="clear"/>
            <w:tcMar>
              <w:top w:type="dxa" w:w="100"/>
              <w:left w:type="dxa" w:w="140"/>
              <w:bottom w:type="dxa" w:w="100"/>
              <w:right w:type="dxa" w:w="140"/>
            </w:tcMar>
            <w:vAlign w:val="center"/>
          </w:tcPr>
          <w:p>
            <w:pPr>
              <w:jc w:val="center"/>
            </w:pPr>
            <w:r>
              <w:rPr>
                <w:b w:val="false"/>
                <w:bCs w:val="false"/>
                <w:color w:val="1A1A1A"/>
                <w:sz w:val="20"/>
                <w:szCs w:val="20"/>
              </w:rPr>
              <w:t xml:space="preserve">98.74 %</w:t>
            </w:r>
          </w:p>
        </w:tc>
      </w:tr>
      <w:tr>
        <w:tc>
          <w:tcPr>
            <w:tcW w:type="dxa" w:w="2200"/>
            <w:tcBorders>
              <w:top w:val="single" w:color="CFE3CF" w:sz="4"/>
              <w:left w:val="single" w:color="CFE3CF" w:sz="4"/>
              <w:bottom w:val="single" w:color="CFE3CF" w:sz="4"/>
              <w:right w:val="single" w:color="CFE3CF" w:sz="4"/>
            </w:tcBorders>
            <w:shd w:fill="EAF3EA" w:val="clear"/>
            <w:tcMar>
              <w:top w:type="dxa" w:w="100"/>
              <w:left w:type="dxa" w:w="140"/>
              <w:bottom w:type="dxa" w:w="100"/>
              <w:right w:type="dxa" w:w="140"/>
            </w:tcMar>
            <w:vAlign w:val="center"/>
          </w:tcPr>
          <w:p>
            <w:pPr>
              <w:jc w:val="left"/>
            </w:pPr>
            <w:r>
              <w:rPr>
                <w:b w:val="false"/>
                <w:bCs w:val="false"/>
                <w:color w:val="1A1A1A"/>
                <w:sz w:val="20"/>
                <w:szCs w:val="20"/>
              </w:rPr>
              <w:t xml:space="preserve">10</w:t>
            </w:r>
          </w:p>
        </w:tc>
        <w:tc>
          <w:tcPr>
            <w:tcW w:type="dxa" w:w="3580"/>
            <w:tcBorders>
              <w:top w:val="single" w:color="CFE3CF" w:sz="4"/>
              <w:left w:val="single" w:color="CFE3CF" w:sz="4"/>
              <w:bottom w:val="single" w:color="CFE3CF" w:sz="4"/>
              <w:right w:val="single" w:color="CFE3CF" w:sz="4"/>
            </w:tcBorders>
            <w:shd w:fill="EAF3EA" w:val="clear"/>
            <w:tcMar>
              <w:top w:type="dxa" w:w="100"/>
              <w:left w:type="dxa" w:w="140"/>
              <w:bottom w:type="dxa" w:w="100"/>
              <w:right w:type="dxa" w:w="140"/>
            </w:tcMar>
            <w:vAlign w:val="center"/>
          </w:tcPr>
          <w:p>
            <w:pPr>
              <w:jc w:val="center"/>
            </w:pPr>
            <w:r>
              <w:rPr>
                <w:b w:val="false"/>
                <w:bCs w:val="false"/>
                <w:color w:val="1A1A1A"/>
                <w:sz w:val="20"/>
                <w:szCs w:val="20"/>
              </w:rPr>
              <w:t xml:space="preserve">0.0424</w:t>
            </w:r>
          </w:p>
        </w:tc>
        <w:tc>
          <w:tcPr>
            <w:tcW w:type="dxa" w:w="3580"/>
            <w:tcBorders>
              <w:top w:val="single" w:color="CFE3CF" w:sz="4"/>
              <w:left w:val="single" w:color="CFE3CF" w:sz="4"/>
              <w:bottom w:val="single" w:color="CFE3CF" w:sz="4"/>
              <w:right w:val="single" w:color="CFE3CF" w:sz="4"/>
            </w:tcBorders>
            <w:shd w:fill="EAF3EA" w:val="clear"/>
            <w:tcMar>
              <w:top w:type="dxa" w:w="100"/>
              <w:left w:type="dxa" w:w="140"/>
              <w:bottom w:type="dxa" w:w="100"/>
              <w:right w:type="dxa" w:w="140"/>
            </w:tcMar>
            <w:vAlign w:val="center"/>
          </w:tcPr>
          <w:p>
            <w:pPr>
              <w:jc w:val="center"/>
            </w:pPr>
            <w:r>
              <w:rPr>
                <w:b w:val="false"/>
                <w:bCs w:val="false"/>
                <w:color w:val="1A1A1A"/>
                <w:sz w:val="20"/>
                <w:szCs w:val="20"/>
              </w:rPr>
              <w:t xml:space="preserve">98.88 %</w:t>
            </w:r>
          </w:p>
        </w:tc>
      </w:tr>
    </w:tbl>
    <w:p>
      <w:pPr>
        <w:spacing w:after="200" w:before="200"/>
      </w:pPr>
    </w:p>
    <w:p>
      <w:pPr>
        <w:pStyle w:val="Heading2"/>
      </w:pPr>
      <w:r>
        <w:t xml:space="preserve">5.2 Matrice de confusion (jeu de test)</w:t>
      </w:r>
    </w:p>
    <w:p>
      <w:pPr>
        <w:spacing w:after="160" w:line="276"/>
      </w:pPr>
      <w:r>
        <w:t xml:space="preserve">La matrice de confusion ci-dessous, calculée sur le jeu de test, montre une diagonale très marquée : le modèle classe correctement la grande majorité des échantillons pour les 38 classes. Les rares confusions se concentrent principalement entre maladies de symptômes visuellement proches (ex. taches foliaires).</w:t>
      </w:r>
    </w:p>
    <w:p>
      <w:pPr>
        <w:spacing w:after="40" w:before="120"/>
        <w:jc w:val="center"/>
      </w:pPr>
      <w:r>
        <w:drawing>
          <wp:inline distT="0" distB="0" distL="0" distR="0">
            <wp:extent cx="5715000" cy="5210175"/>
            <wp:effectExtent t="0" r="0" b="0" l="0"/>
            <wp:docPr id="1" name="cell1_out3.png" descr="cell1_out3.png" title="cell1_ou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210175"/>
                    </a:xfrm>
                    <a:prstGeom prst="rect">
                      <a:avLst/>
                    </a:prstGeom>
                  </pic:spPr>
                </pic:pic>
              </a:graphicData>
            </a:graphic>
          </wp:inline>
        </w:drawing>
      </w:r>
    </w:p>
    <w:p>
      <w:pPr>
        <w:spacing w:after="280" w:before="80"/>
        <w:jc w:val="center"/>
      </w:pPr>
      <w:r>
        <w:rPr>
          <w:i/>
          <w:iCs/>
          <w:color w:val="595959"/>
          <w:sz w:val="20"/>
          <w:szCs w:val="20"/>
        </w:rPr>
        <w:t xml:space="preserve">Figure 3 — Matrice de confusion du modèle sur le jeu de test (38 classes).</w:t>
      </w:r>
    </w:p>
    <w:p>
      <w:pPr>
        <w:pStyle w:val="Heading2"/>
      </w:pPr>
      <w:r>
        <w:t xml:space="preserve">5.3 Principales confusions observées</w:t>
      </w:r>
    </w:p>
    <w:p>
      <w:pPr>
        <w:spacing w:after="160" w:line="276"/>
      </w:pPr>
      <w:r>
        <w:t xml:space="preserve">L'analyse des erreurs les plus fréquentes met en évidence des confusions cohérentes avec la similarité visuelle des symptômes (taches brunes, nécroses, mouchetures), notamment au sein de la classe Tomato et entre certaines maladies du maïs.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3350"/>
        <w:gridCol w:w="3700"/>
        <w:gridCol w:w="1760"/>
      </w:tblGrid>
      <w:tr>
        <w:tc>
          <w:tcPr>
            <w:tcW w:type="dxa" w:w="550"/>
            <w:tcBorders>
              <w:top w:val="single" w:color="CFE3CF" w:sz="4"/>
              <w:left w:val="single" w:color="CFE3CF" w:sz="4"/>
              <w:bottom w:val="single" w:color="CFE3CF" w:sz="4"/>
              <w:right w:val="single" w:color="CFE3CF" w:sz="4"/>
            </w:tcBorders>
            <w:shd w:fill="2E7D32" w:val="clear"/>
            <w:tcMar>
              <w:top w:type="dxa" w:w="100"/>
              <w:left w:type="dxa" w:w="140"/>
              <w:bottom w:type="dxa" w:w="100"/>
              <w:right w:type="dxa" w:w="140"/>
            </w:tcMar>
            <w:vAlign w:val="center"/>
          </w:tcPr>
          <w:p>
            <w:pPr>
              <w:jc w:val="left"/>
            </w:pPr>
            <w:r>
              <w:rPr>
                <w:b/>
                <w:bCs/>
                <w:color w:val="FFFFFF"/>
                <w:sz w:val="20"/>
                <w:szCs w:val="20"/>
              </w:rPr>
              <w:t xml:space="preserve">#</w:t>
            </w:r>
          </w:p>
        </w:tc>
        <w:tc>
          <w:tcPr>
            <w:tcW w:type="dxa" w:w="3350"/>
            <w:tcBorders>
              <w:top w:val="single" w:color="CFE3CF" w:sz="4"/>
              <w:left w:val="single" w:color="CFE3CF" w:sz="4"/>
              <w:bottom w:val="single" w:color="CFE3CF" w:sz="4"/>
              <w:right w:val="single" w:color="CFE3CF" w:sz="4"/>
            </w:tcBorders>
            <w:shd w:fill="2E7D32" w:val="clear"/>
            <w:tcMar>
              <w:top w:type="dxa" w:w="100"/>
              <w:left w:type="dxa" w:w="140"/>
              <w:bottom w:type="dxa" w:w="100"/>
              <w:right w:type="dxa" w:w="140"/>
            </w:tcMar>
            <w:vAlign w:val="center"/>
          </w:tcPr>
          <w:p>
            <w:pPr>
              <w:jc w:val="center"/>
            </w:pPr>
            <w:r>
              <w:rPr>
                <w:b/>
                <w:bCs/>
                <w:color w:val="FFFFFF"/>
                <w:sz w:val="20"/>
                <w:szCs w:val="20"/>
              </w:rPr>
              <w:t xml:space="preserve">Classe réelle</w:t>
            </w:r>
          </w:p>
        </w:tc>
        <w:tc>
          <w:tcPr>
            <w:tcW w:type="dxa" w:w="3700"/>
            <w:tcBorders>
              <w:top w:val="single" w:color="CFE3CF" w:sz="4"/>
              <w:left w:val="single" w:color="CFE3CF" w:sz="4"/>
              <w:bottom w:val="single" w:color="CFE3CF" w:sz="4"/>
              <w:right w:val="single" w:color="CFE3CF" w:sz="4"/>
            </w:tcBorders>
            <w:shd w:fill="2E7D32" w:val="clear"/>
            <w:tcMar>
              <w:top w:type="dxa" w:w="100"/>
              <w:left w:type="dxa" w:w="140"/>
              <w:bottom w:type="dxa" w:w="100"/>
              <w:right w:type="dxa" w:w="140"/>
            </w:tcMar>
            <w:vAlign w:val="center"/>
          </w:tcPr>
          <w:p>
            <w:pPr>
              <w:jc w:val="center"/>
            </w:pPr>
            <w:r>
              <w:rPr>
                <w:b/>
                <w:bCs/>
                <w:color w:val="FFFFFF"/>
                <w:sz w:val="20"/>
                <w:szCs w:val="20"/>
              </w:rPr>
              <w:t xml:space="preserve">Classe prédite (erreur)</w:t>
            </w:r>
          </w:p>
        </w:tc>
        <w:tc>
          <w:tcPr>
            <w:tcW w:type="dxa" w:w="1760"/>
            <w:tcBorders>
              <w:top w:val="single" w:color="CFE3CF" w:sz="4"/>
              <w:left w:val="single" w:color="CFE3CF" w:sz="4"/>
              <w:bottom w:val="single" w:color="CFE3CF" w:sz="4"/>
              <w:right w:val="single" w:color="CFE3CF" w:sz="4"/>
            </w:tcBorders>
            <w:shd w:fill="2E7D32" w:val="clear"/>
            <w:tcMar>
              <w:top w:type="dxa" w:w="100"/>
              <w:left w:type="dxa" w:w="140"/>
              <w:bottom w:type="dxa" w:w="100"/>
              <w:right w:type="dxa" w:w="140"/>
            </w:tcMar>
            <w:vAlign w:val="center"/>
          </w:tcPr>
          <w:p>
            <w:pPr>
              <w:jc w:val="center"/>
            </w:pPr>
            <w:r>
              <w:rPr>
                <w:b/>
                <w:bCs/>
                <w:color w:val="FFFFFF"/>
                <w:sz w:val="20"/>
                <w:szCs w:val="20"/>
              </w:rPr>
              <w:t xml:space="preserve">Occurrences</w:t>
            </w:r>
          </w:p>
        </w:tc>
      </w:tr>
      <w:tr>
        <w:tc>
          <w:tcPr>
            <w:tcW w:type="dxa" w:w="550"/>
            <w:tcBorders>
              <w:top w:val="single" w:color="CFE3CF" w:sz="4"/>
              <w:left w:val="single" w:color="CFE3CF" w:sz="4"/>
              <w:bottom w:val="single" w:color="CFE3CF" w:sz="4"/>
              <w:right w:val="single" w:color="CFE3CF" w:sz="4"/>
            </w:tcBorders>
            <w:shd w:fill="FFFFFF" w:val="clear"/>
            <w:tcMar>
              <w:top w:type="dxa" w:w="100"/>
              <w:left w:type="dxa" w:w="140"/>
              <w:bottom w:type="dxa" w:w="100"/>
              <w:right w:type="dxa" w:w="140"/>
            </w:tcMar>
            <w:vAlign w:val="center"/>
          </w:tcPr>
          <w:p>
            <w:pPr>
              <w:jc w:val="left"/>
            </w:pPr>
            <w:r>
              <w:rPr>
                <w:b w:val="false"/>
                <w:bCs w:val="false"/>
                <w:color w:val="1A1A1A"/>
                <w:sz w:val="20"/>
                <w:szCs w:val="20"/>
              </w:rPr>
              <w:t xml:space="preserve">1</w:t>
            </w:r>
          </w:p>
        </w:tc>
        <w:tc>
          <w:tcPr>
            <w:tcW w:type="dxa" w:w="3350"/>
            <w:tcBorders>
              <w:top w:val="single" w:color="CFE3CF" w:sz="4"/>
              <w:left w:val="single" w:color="CFE3CF" w:sz="4"/>
              <w:bottom w:val="single" w:color="CFE3CF" w:sz="4"/>
              <w:right w:val="single" w:color="CFE3CF" w:sz="4"/>
            </w:tcBorders>
            <w:shd w:fill="FFFFFF" w:val="clear"/>
            <w:tcMar>
              <w:top w:type="dxa" w:w="100"/>
              <w:left w:type="dxa" w:w="140"/>
              <w:bottom w:type="dxa" w:w="100"/>
              <w:right w:type="dxa" w:w="140"/>
            </w:tcMar>
            <w:vAlign w:val="center"/>
          </w:tcPr>
          <w:p>
            <w:pPr>
              <w:jc w:val="center"/>
            </w:pPr>
            <w:r>
              <w:rPr>
                <w:b w:val="false"/>
                <w:bCs w:val="false"/>
                <w:color w:val="1A1A1A"/>
                <w:sz w:val="20"/>
                <w:szCs w:val="20"/>
              </w:rPr>
              <w:t xml:space="preserve">Tomato — Target Spot</w:t>
            </w:r>
          </w:p>
        </w:tc>
        <w:tc>
          <w:tcPr>
            <w:tcW w:type="dxa" w:w="3700"/>
            <w:tcBorders>
              <w:top w:val="single" w:color="CFE3CF" w:sz="4"/>
              <w:left w:val="single" w:color="CFE3CF" w:sz="4"/>
              <w:bottom w:val="single" w:color="CFE3CF" w:sz="4"/>
              <w:right w:val="single" w:color="CFE3CF" w:sz="4"/>
            </w:tcBorders>
            <w:shd w:fill="FFFFFF" w:val="clear"/>
            <w:tcMar>
              <w:top w:type="dxa" w:w="100"/>
              <w:left w:type="dxa" w:w="140"/>
              <w:bottom w:type="dxa" w:w="100"/>
              <w:right w:type="dxa" w:w="140"/>
            </w:tcMar>
            <w:vAlign w:val="center"/>
          </w:tcPr>
          <w:p>
            <w:pPr>
              <w:jc w:val="center"/>
            </w:pPr>
            <w:r>
              <w:rPr>
                <w:b w:val="false"/>
                <w:bCs w:val="false"/>
                <w:color w:val="1A1A1A"/>
                <w:sz w:val="20"/>
                <w:szCs w:val="20"/>
              </w:rPr>
              <w:t xml:space="preserve">Tomato — Spider mites (tétranyque)</w:t>
            </w:r>
          </w:p>
        </w:tc>
        <w:tc>
          <w:tcPr>
            <w:tcW w:type="dxa" w:w="1760"/>
            <w:tcBorders>
              <w:top w:val="single" w:color="CFE3CF" w:sz="4"/>
              <w:left w:val="single" w:color="CFE3CF" w:sz="4"/>
              <w:bottom w:val="single" w:color="CFE3CF" w:sz="4"/>
              <w:right w:val="single" w:color="CFE3CF" w:sz="4"/>
            </w:tcBorders>
            <w:shd w:fill="FFFFFF" w:val="clear"/>
            <w:tcMar>
              <w:top w:type="dxa" w:w="100"/>
              <w:left w:type="dxa" w:w="140"/>
              <w:bottom w:type="dxa" w:w="100"/>
              <w:right w:type="dxa" w:w="140"/>
            </w:tcMar>
            <w:vAlign w:val="center"/>
          </w:tcPr>
          <w:p>
            <w:pPr>
              <w:jc w:val="center"/>
            </w:pPr>
            <w:r>
              <w:rPr>
                <w:b w:val="false"/>
                <w:bCs w:val="false"/>
                <w:color w:val="1A1A1A"/>
                <w:sz w:val="20"/>
                <w:szCs w:val="20"/>
              </w:rPr>
              <w:t xml:space="preserve">13</w:t>
            </w:r>
          </w:p>
        </w:tc>
      </w:tr>
      <w:tr>
        <w:tc>
          <w:tcPr>
            <w:tcW w:type="dxa" w:w="550"/>
            <w:tcBorders>
              <w:top w:val="single" w:color="CFE3CF" w:sz="4"/>
              <w:left w:val="single" w:color="CFE3CF" w:sz="4"/>
              <w:bottom w:val="single" w:color="CFE3CF" w:sz="4"/>
              <w:right w:val="single" w:color="CFE3CF" w:sz="4"/>
            </w:tcBorders>
            <w:shd w:fill="EAF3EA" w:val="clear"/>
            <w:tcMar>
              <w:top w:type="dxa" w:w="100"/>
              <w:left w:type="dxa" w:w="140"/>
              <w:bottom w:type="dxa" w:w="100"/>
              <w:right w:type="dxa" w:w="140"/>
            </w:tcMar>
            <w:vAlign w:val="center"/>
          </w:tcPr>
          <w:p>
            <w:pPr>
              <w:jc w:val="left"/>
            </w:pPr>
            <w:r>
              <w:rPr>
                <w:b w:val="false"/>
                <w:bCs w:val="false"/>
                <w:color w:val="1A1A1A"/>
                <w:sz w:val="20"/>
                <w:szCs w:val="20"/>
              </w:rPr>
              <w:t xml:space="preserve">2</w:t>
            </w:r>
          </w:p>
        </w:tc>
        <w:tc>
          <w:tcPr>
            <w:tcW w:type="dxa" w:w="3350"/>
            <w:tcBorders>
              <w:top w:val="single" w:color="CFE3CF" w:sz="4"/>
              <w:left w:val="single" w:color="CFE3CF" w:sz="4"/>
              <w:bottom w:val="single" w:color="CFE3CF" w:sz="4"/>
              <w:right w:val="single" w:color="CFE3CF" w:sz="4"/>
            </w:tcBorders>
            <w:shd w:fill="EAF3EA" w:val="clear"/>
            <w:tcMar>
              <w:top w:type="dxa" w:w="100"/>
              <w:left w:type="dxa" w:w="140"/>
              <w:bottom w:type="dxa" w:w="100"/>
              <w:right w:type="dxa" w:w="140"/>
            </w:tcMar>
            <w:vAlign w:val="center"/>
          </w:tcPr>
          <w:p>
            <w:pPr>
              <w:jc w:val="center"/>
            </w:pPr>
            <w:r>
              <w:rPr>
                <w:b w:val="false"/>
                <w:bCs w:val="false"/>
                <w:color w:val="1A1A1A"/>
                <w:sz w:val="20"/>
                <w:szCs w:val="20"/>
              </w:rPr>
              <w:t xml:space="preserve">Corn (maize) — Cercospora / Gray leaf spot</w:t>
            </w:r>
          </w:p>
        </w:tc>
        <w:tc>
          <w:tcPr>
            <w:tcW w:type="dxa" w:w="3700"/>
            <w:tcBorders>
              <w:top w:val="single" w:color="CFE3CF" w:sz="4"/>
              <w:left w:val="single" w:color="CFE3CF" w:sz="4"/>
              <w:bottom w:val="single" w:color="CFE3CF" w:sz="4"/>
              <w:right w:val="single" w:color="CFE3CF" w:sz="4"/>
            </w:tcBorders>
            <w:shd w:fill="EAF3EA" w:val="clear"/>
            <w:tcMar>
              <w:top w:type="dxa" w:w="100"/>
              <w:left w:type="dxa" w:w="140"/>
              <w:bottom w:type="dxa" w:w="100"/>
              <w:right w:type="dxa" w:w="140"/>
            </w:tcMar>
            <w:vAlign w:val="center"/>
          </w:tcPr>
          <w:p>
            <w:pPr>
              <w:jc w:val="center"/>
            </w:pPr>
            <w:r>
              <w:rPr>
                <w:b w:val="false"/>
                <w:bCs w:val="false"/>
                <w:color w:val="1A1A1A"/>
                <w:sz w:val="20"/>
                <w:szCs w:val="20"/>
              </w:rPr>
              <w:t xml:space="preserve">Corn (maize) — Northern Leaf Blight</w:t>
            </w:r>
          </w:p>
        </w:tc>
        <w:tc>
          <w:tcPr>
            <w:tcW w:type="dxa" w:w="1760"/>
            <w:tcBorders>
              <w:top w:val="single" w:color="CFE3CF" w:sz="4"/>
              <w:left w:val="single" w:color="CFE3CF" w:sz="4"/>
              <w:bottom w:val="single" w:color="CFE3CF" w:sz="4"/>
              <w:right w:val="single" w:color="CFE3CF" w:sz="4"/>
            </w:tcBorders>
            <w:shd w:fill="EAF3EA" w:val="clear"/>
            <w:tcMar>
              <w:top w:type="dxa" w:w="100"/>
              <w:left w:type="dxa" w:w="140"/>
              <w:bottom w:type="dxa" w:w="100"/>
              <w:right w:type="dxa" w:w="140"/>
            </w:tcMar>
            <w:vAlign w:val="center"/>
          </w:tcPr>
          <w:p>
            <w:pPr>
              <w:jc w:val="center"/>
            </w:pPr>
            <w:r>
              <w:rPr>
                <w:b w:val="false"/>
                <w:bCs w:val="false"/>
                <w:color w:val="1A1A1A"/>
                <w:sz w:val="20"/>
                <w:szCs w:val="20"/>
              </w:rPr>
              <w:t xml:space="preserve">10</w:t>
            </w:r>
          </w:p>
        </w:tc>
      </w:tr>
      <w:tr>
        <w:tc>
          <w:tcPr>
            <w:tcW w:type="dxa" w:w="550"/>
            <w:tcBorders>
              <w:top w:val="single" w:color="CFE3CF" w:sz="4"/>
              <w:left w:val="single" w:color="CFE3CF" w:sz="4"/>
              <w:bottom w:val="single" w:color="CFE3CF" w:sz="4"/>
              <w:right w:val="single" w:color="CFE3CF" w:sz="4"/>
            </w:tcBorders>
            <w:shd w:fill="FFFFFF" w:val="clear"/>
            <w:tcMar>
              <w:top w:type="dxa" w:w="100"/>
              <w:left w:type="dxa" w:w="140"/>
              <w:bottom w:type="dxa" w:w="100"/>
              <w:right w:type="dxa" w:w="140"/>
            </w:tcMar>
            <w:vAlign w:val="center"/>
          </w:tcPr>
          <w:p>
            <w:pPr>
              <w:jc w:val="left"/>
            </w:pPr>
            <w:r>
              <w:rPr>
                <w:b w:val="false"/>
                <w:bCs w:val="false"/>
                <w:color w:val="1A1A1A"/>
                <w:sz w:val="20"/>
                <w:szCs w:val="20"/>
              </w:rPr>
              <w:t xml:space="preserve">3</w:t>
            </w:r>
          </w:p>
        </w:tc>
        <w:tc>
          <w:tcPr>
            <w:tcW w:type="dxa" w:w="3350"/>
            <w:tcBorders>
              <w:top w:val="single" w:color="CFE3CF" w:sz="4"/>
              <w:left w:val="single" w:color="CFE3CF" w:sz="4"/>
              <w:bottom w:val="single" w:color="CFE3CF" w:sz="4"/>
              <w:right w:val="single" w:color="CFE3CF" w:sz="4"/>
            </w:tcBorders>
            <w:shd w:fill="FFFFFF" w:val="clear"/>
            <w:tcMar>
              <w:top w:type="dxa" w:w="100"/>
              <w:left w:type="dxa" w:w="140"/>
              <w:bottom w:type="dxa" w:w="100"/>
              <w:right w:type="dxa" w:w="140"/>
            </w:tcMar>
            <w:vAlign w:val="center"/>
          </w:tcPr>
          <w:p>
            <w:pPr>
              <w:jc w:val="center"/>
            </w:pPr>
            <w:r>
              <w:rPr>
                <w:b w:val="false"/>
                <w:bCs w:val="false"/>
                <w:color w:val="1A1A1A"/>
                <w:sz w:val="20"/>
                <w:szCs w:val="20"/>
              </w:rPr>
              <w:t xml:space="preserve">Tomato — Early blight</w:t>
            </w:r>
          </w:p>
        </w:tc>
        <w:tc>
          <w:tcPr>
            <w:tcW w:type="dxa" w:w="3700"/>
            <w:tcBorders>
              <w:top w:val="single" w:color="CFE3CF" w:sz="4"/>
              <w:left w:val="single" w:color="CFE3CF" w:sz="4"/>
              <w:bottom w:val="single" w:color="CFE3CF" w:sz="4"/>
              <w:right w:val="single" w:color="CFE3CF" w:sz="4"/>
            </w:tcBorders>
            <w:shd w:fill="FFFFFF" w:val="clear"/>
            <w:tcMar>
              <w:top w:type="dxa" w:w="100"/>
              <w:left w:type="dxa" w:w="140"/>
              <w:bottom w:type="dxa" w:w="100"/>
              <w:right w:type="dxa" w:w="140"/>
            </w:tcMar>
            <w:vAlign w:val="center"/>
          </w:tcPr>
          <w:p>
            <w:pPr>
              <w:jc w:val="center"/>
            </w:pPr>
            <w:r>
              <w:rPr>
                <w:b w:val="false"/>
                <w:bCs w:val="false"/>
                <w:color w:val="1A1A1A"/>
                <w:sz w:val="20"/>
                <w:szCs w:val="20"/>
              </w:rPr>
              <w:t xml:space="preserve">Tomato — Septoria leaf spot</w:t>
            </w:r>
          </w:p>
        </w:tc>
        <w:tc>
          <w:tcPr>
            <w:tcW w:type="dxa" w:w="1760"/>
            <w:tcBorders>
              <w:top w:val="single" w:color="CFE3CF" w:sz="4"/>
              <w:left w:val="single" w:color="CFE3CF" w:sz="4"/>
              <w:bottom w:val="single" w:color="CFE3CF" w:sz="4"/>
              <w:right w:val="single" w:color="CFE3CF" w:sz="4"/>
            </w:tcBorders>
            <w:shd w:fill="FFFFFF" w:val="clear"/>
            <w:tcMar>
              <w:top w:type="dxa" w:w="100"/>
              <w:left w:type="dxa" w:w="140"/>
              <w:bottom w:type="dxa" w:w="100"/>
              <w:right w:type="dxa" w:w="140"/>
            </w:tcMar>
            <w:vAlign w:val="center"/>
          </w:tcPr>
          <w:p>
            <w:pPr>
              <w:jc w:val="center"/>
            </w:pPr>
            <w:r>
              <w:rPr>
                <w:b w:val="false"/>
                <w:bCs w:val="false"/>
                <w:color w:val="1A1A1A"/>
                <w:sz w:val="20"/>
                <w:szCs w:val="20"/>
              </w:rPr>
              <w:t xml:space="preserve">9</w:t>
            </w:r>
          </w:p>
        </w:tc>
      </w:tr>
      <w:tr>
        <w:tc>
          <w:tcPr>
            <w:tcW w:type="dxa" w:w="550"/>
            <w:tcBorders>
              <w:top w:val="single" w:color="CFE3CF" w:sz="4"/>
              <w:left w:val="single" w:color="CFE3CF" w:sz="4"/>
              <w:bottom w:val="single" w:color="CFE3CF" w:sz="4"/>
              <w:right w:val="single" w:color="CFE3CF" w:sz="4"/>
            </w:tcBorders>
            <w:shd w:fill="EAF3EA" w:val="clear"/>
            <w:tcMar>
              <w:top w:type="dxa" w:w="100"/>
              <w:left w:type="dxa" w:w="140"/>
              <w:bottom w:type="dxa" w:w="100"/>
              <w:right w:type="dxa" w:w="140"/>
            </w:tcMar>
            <w:vAlign w:val="center"/>
          </w:tcPr>
          <w:p>
            <w:pPr>
              <w:jc w:val="left"/>
            </w:pPr>
            <w:r>
              <w:rPr>
                <w:b w:val="false"/>
                <w:bCs w:val="false"/>
                <w:color w:val="1A1A1A"/>
                <w:sz w:val="20"/>
                <w:szCs w:val="20"/>
              </w:rPr>
              <w:t xml:space="preserve">4</w:t>
            </w:r>
          </w:p>
        </w:tc>
        <w:tc>
          <w:tcPr>
            <w:tcW w:type="dxa" w:w="3350"/>
            <w:tcBorders>
              <w:top w:val="single" w:color="CFE3CF" w:sz="4"/>
              <w:left w:val="single" w:color="CFE3CF" w:sz="4"/>
              <w:bottom w:val="single" w:color="CFE3CF" w:sz="4"/>
              <w:right w:val="single" w:color="CFE3CF" w:sz="4"/>
            </w:tcBorders>
            <w:shd w:fill="EAF3EA" w:val="clear"/>
            <w:tcMar>
              <w:top w:type="dxa" w:w="100"/>
              <w:left w:type="dxa" w:w="140"/>
              <w:bottom w:type="dxa" w:w="100"/>
              <w:right w:type="dxa" w:w="140"/>
            </w:tcMar>
            <w:vAlign w:val="center"/>
          </w:tcPr>
          <w:p>
            <w:pPr>
              <w:jc w:val="center"/>
            </w:pPr>
            <w:r>
              <w:rPr>
                <w:b w:val="false"/>
                <w:bCs w:val="false"/>
                <w:color w:val="1A1A1A"/>
                <w:sz w:val="20"/>
                <w:szCs w:val="20"/>
              </w:rPr>
              <w:t xml:space="preserve">Tomato — Early blight</w:t>
            </w:r>
          </w:p>
        </w:tc>
        <w:tc>
          <w:tcPr>
            <w:tcW w:type="dxa" w:w="3700"/>
            <w:tcBorders>
              <w:top w:val="single" w:color="CFE3CF" w:sz="4"/>
              <w:left w:val="single" w:color="CFE3CF" w:sz="4"/>
              <w:bottom w:val="single" w:color="CFE3CF" w:sz="4"/>
              <w:right w:val="single" w:color="CFE3CF" w:sz="4"/>
            </w:tcBorders>
            <w:shd w:fill="EAF3EA" w:val="clear"/>
            <w:tcMar>
              <w:top w:type="dxa" w:w="100"/>
              <w:left w:type="dxa" w:w="140"/>
              <w:bottom w:type="dxa" w:w="100"/>
              <w:right w:type="dxa" w:w="140"/>
            </w:tcMar>
            <w:vAlign w:val="center"/>
          </w:tcPr>
          <w:p>
            <w:pPr>
              <w:jc w:val="center"/>
            </w:pPr>
            <w:r>
              <w:rPr>
                <w:b w:val="false"/>
                <w:bCs w:val="false"/>
                <w:color w:val="1A1A1A"/>
                <w:sz w:val="20"/>
                <w:szCs w:val="20"/>
              </w:rPr>
              <w:t xml:space="preserve">Tomato — Target Spot</w:t>
            </w:r>
          </w:p>
        </w:tc>
        <w:tc>
          <w:tcPr>
            <w:tcW w:type="dxa" w:w="1760"/>
            <w:tcBorders>
              <w:top w:val="single" w:color="CFE3CF" w:sz="4"/>
              <w:left w:val="single" w:color="CFE3CF" w:sz="4"/>
              <w:bottom w:val="single" w:color="CFE3CF" w:sz="4"/>
              <w:right w:val="single" w:color="CFE3CF" w:sz="4"/>
            </w:tcBorders>
            <w:shd w:fill="EAF3EA" w:val="clear"/>
            <w:tcMar>
              <w:top w:type="dxa" w:w="100"/>
              <w:left w:type="dxa" w:w="140"/>
              <w:bottom w:type="dxa" w:w="100"/>
              <w:right w:type="dxa" w:w="140"/>
            </w:tcMar>
            <w:vAlign w:val="center"/>
          </w:tcPr>
          <w:p>
            <w:pPr>
              <w:jc w:val="center"/>
            </w:pPr>
            <w:r>
              <w:rPr>
                <w:b w:val="false"/>
                <w:bCs w:val="false"/>
                <w:color w:val="1A1A1A"/>
                <w:sz w:val="20"/>
                <w:szCs w:val="20"/>
              </w:rPr>
              <w:t xml:space="preserve">7</w:t>
            </w:r>
          </w:p>
        </w:tc>
      </w:tr>
      <w:tr>
        <w:tc>
          <w:tcPr>
            <w:tcW w:type="dxa" w:w="550"/>
            <w:tcBorders>
              <w:top w:val="single" w:color="CFE3CF" w:sz="4"/>
              <w:left w:val="single" w:color="CFE3CF" w:sz="4"/>
              <w:bottom w:val="single" w:color="CFE3CF" w:sz="4"/>
              <w:right w:val="single" w:color="CFE3CF" w:sz="4"/>
            </w:tcBorders>
            <w:shd w:fill="FFFFFF" w:val="clear"/>
            <w:tcMar>
              <w:top w:type="dxa" w:w="100"/>
              <w:left w:type="dxa" w:w="140"/>
              <w:bottom w:type="dxa" w:w="100"/>
              <w:right w:type="dxa" w:w="140"/>
            </w:tcMar>
            <w:vAlign w:val="center"/>
          </w:tcPr>
          <w:p>
            <w:pPr>
              <w:jc w:val="left"/>
            </w:pPr>
            <w:r>
              <w:rPr>
                <w:b w:val="false"/>
                <w:bCs w:val="false"/>
                <w:color w:val="1A1A1A"/>
                <w:sz w:val="20"/>
                <w:szCs w:val="20"/>
              </w:rPr>
              <w:t xml:space="preserve">5</w:t>
            </w:r>
          </w:p>
        </w:tc>
        <w:tc>
          <w:tcPr>
            <w:tcW w:type="dxa" w:w="3350"/>
            <w:tcBorders>
              <w:top w:val="single" w:color="CFE3CF" w:sz="4"/>
              <w:left w:val="single" w:color="CFE3CF" w:sz="4"/>
              <w:bottom w:val="single" w:color="CFE3CF" w:sz="4"/>
              <w:right w:val="single" w:color="CFE3CF" w:sz="4"/>
            </w:tcBorders>
            <w:shd w:fill="FFFFFF" w:val="clear"/>
            <w:tcMar>
              <w:top w:type="dxa" w:w="100"/>
              <w:left w:type="dxa" w:w="140"/>
              <w:bottom w:type="dxa" w:w="100"/>
              <w:right w:type="dxa" w:w="140"/>
            </w:tcMar>
            <w:vAlign w:val="center"/>
          </w:tcPr>
          <w:p>
            <w:pPr>
              <w:jc w:val="center"/>
            </w:pPr>
            <w:r>
              <w:rPr>
                <w:b w:val="false"/>
                <w:bCs w:val="false"/>
                <w:color w:val="1A1A1A"/>
                <w:sz w:val="20"/>
                <w:szCs w:val="20"/>
              </w:rPr>
              <w:t xml:space="preserve">Tomato — Late blight</w:t>
            </w:r>
          </w:p>
        </w:tc>
        <w:tc>
          <w:tcPr>
            <w:tcW w:type="dxa" w:w="3700"/>
            <w:tcBorders>
              <w:top w:val="single" w:color="CFE3CF" w:sz="4"/>
              <w:left w:val="single" w:color="CFE3CF" w:sz="4"/>
              <w:bottom w:val="single" w:color="CFE3CF" w:sz="4"/>
              <w:right w:val="single" w:color="CFE3CF" w:sz="4"/>
            </w:tcBorders>
            <w:shd w:fill="FFFFFF" w:val="clear"/>
            <w:tcMar>
              <w:top w:type="dxa" w:w="100"/>
              <w:left w:type="dxa" w:w="140"/>
              <w:bottom w:type="dxa" w:w="100"/>
              <w:right w:type="dxa" w:w="140"/>
            </w:tcMar>
            <w:vAlign w:val="center"/>
          </w:tcPr>
          <w:p>
            <w:pPr>
              <w:jc w:val="center"/>
            </w:pPr>
            <w:r>
              <w:rPr>
                <w:b w:val="false"/>
                <w:bCs w:val="false"/>
                <w:color w:val="1A1A1A"/>
                <w:sz w:val="20"/>
                <w:szCs w:val="20"/>
              </w:rPr>
              <w:t xml:space="preserve">Tomato — Spider mites (tétranyque)</w:t>
            </w:r>
          </w:p>
        </w:tc>
        <w:tc>
          <w:tcPr>
            <w:tcW w:type="dxa" w:w="1760"/>
            <w:tcBorders>
              <w:top w:val="single" w:color="CFE3CF" w:sz="4"/>
              <w:left w:val="single" w:color="CFE3CF" w:sz="4"/>
              <w:bottom w:val="single" w:color="CFE3CF" w:sz="4"/>
              <w:right w:val="single" w:color="CFE3CF" w:sz="4"/>
            </w:tcBorders>
            <w:shd w:fill="FFFFFF" w:val="clear"/>
            <w:tcMar>
              <w:top w:type="dxa" w:w="100"/>
              <w:left w:type="dxa" w:w="140"/>
              <w:bottom w:type="dxa" w:w="100"/>
              <w:right w:type="dxa" w:w="140"/>
            </w:tcMar>
            <w:vAlign w:val="center"/>
          </w:tcPr>
          <w:p>
            <w:pPr>
              <w:jc w:val="center"/>
            </w:pPr>
            <w:r>
              <w:rPr>
                <w:b w:val="false"/>
                <w:bCs w:val="false"/>
                <w:color w:val="1A1A1A"/>
                <w:sz w:val="20"/>
                <w:szCs w:val="20"/>
              </w:rPr>
              <w:t xml:space="preserve">6</w:t>
            </w:r>
          </w:p>
        </w:tc>
      </w:tr>
    </w:tbl>
    <w:p>
      <w:pPr>
        <w:spacing w:after="200" w:before="200"/>
      </w:pPr>
    </w:p>
    <w:p>
      <w:pPr>
        <w:pStyle w:val="Heading2"/>
      </w:pPr>
      <w:r>
        <w:t xml:space="preserve">5.4 Synthèse des performances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80"/>
        <w:gridCol w:w="3680"/>
      </w:tblGrid>
      <w:tr>
        <w:tc>
          <w:tcPr>
            <w:tcW w:type="dxa" w:w="5680"/>
            <w:tcBorders>
              <w:top w:val="single" w:color="CFE3CF" w:sz="4"/>
              <w:left w:val="single" w:color="CFE3CF" w:sz="4"/>
              <w:bottom w:val="single" w:color="CFE3CF" w:sz="4"/>
              <w:right w:val="single" w:color="CFE3CF" w:sz="4"/>
            </w:tcBorders>
            <w:shd w:fill="2E7D32" w:val="clear"/>
            <w:tcMar>
              <w:top w:type="dxa" w:w="100"/>
              <w:left w:type="dxa" w:w="140"/>
              <w:bottom w:type="dxa" w:w="100"/>
              <w:right w:type="dxa" w:w="140"/>
            </w:tcMar>
            <w:vAlign w:val="center"/>
          </w:tcPr>
          <w:p>
            <w:pPr>
              <w:jc w:val="left"/>
            </w:pPr>
            <w:r>
              <w:rPr>
                <w:b/>
                <w:bCs/>
                <w:color w:val="FFFFFF"/>
                <w:sz w:val="20"/>
                <w:szCs w:val="20"/>
              </w:rPr>
              <w:t xml:space="preserve">Indicateur</w:t>
            </w:r>
          </w:p>
        </w:tc>
        <w:tc>
          <w:tcPr>
            <w:tcW w:type="dxa" w:w="3680"/>
            <w:tcBorders>
              <w:top w:val="single" w:color="CFE3CF" w:sz="4"/>
              <w:left w:val="single" w:color="CFE3CF" w:sz="4"/>
              <w:bottom w:val="single" w:color="CFE3CF" w:sz="4"/>
              <w:right w:val="single" w:color="CFE3CF" w:sz="4"/>
            </w:tcBorders>
            <w:shd w:fill="2E7D32" w:val="clear"/>
            <w:tcMar>
              <w:top w:type="dxa" w:w="100"/>
              <w:left w:type="dxa" w:w="140"/>
              <w:bottom w:type="dxa" w:w="100"/>
              <w:right w:type="dxa" w:w="140"/>
            </w:tcMar>
            <w:vAlign w:val="center"/>
          </w:tcPr>
          <w:p>
            <w:pPr>
              <w:jc w:val="center"/>
            </w:pPr>
            <w:r>
              <w:rPr>
                <w:b/>
                <w:bCs/>
                <w:color w:val="FFFFFF"/>
                <w:sz w:val="20"/>
                <w:szCs w:val="20"/>
              </w:rPr>
              <w:t xml:space="preserve">Valeur</w:t>
            </w:r>
          </w:p>
        </w:tc>
      </w:tr>
      <w:tr>
        <w:tc>
          <w:tcPr>
            <w:tcW w:type="dxa" w:w="5680"/>
            <w:tcBorders>
              <w:top w:val="single" w:color="CFE3CF" w:sz="4"/>
              <w:left w:val="single" w:color="CFE3CF" w:sz="4"/>
              <w:bottom w:val="single" w:color="CFE3CF" w:sz="4"/>
              <w:right w:val="single" w:color="CFE3CF" w:sz="4"/>
            </w:tcBorders>
            <w:shd w:fill="FFFFFF" w:val="clear"/>
            <w:tcMar>
              <w:top w:type="dxa" w:w="100"/>
              <w:left w:type="dxa" w:w="140"/>
              <w:bottom w:type="dxa" w:w="100"/>
              <w:right w:type="dxa" w:w="140"/>
            </w:tcMar>
            <w:vAlign w:val="center"/>
          </w:tcPr>
          <w:p>
            <w:pPr>
              <w:jc w:val="left"/>
            </w:pPr>
            <w:r>
              <w:rPr>
                <w:b w:val="false"/>
                <w:bCs w:val="false"/>
                <w:color w:val="1A1A1A"/>
                <w:sz w:val="20"/>
                <w:szCs w:val="20"/>
              </w:rPr>
              <w:t xml:space="preserve">Accuracy finale (entraînement, époque 10)</w:t>
            </w:r>
          </w:p>
        </w:tc>
        <w:tc>
          <w:tcPr>
            <w:tcW w:type="dxa" w:w="3680"/>
            <w:tcBorders>
              <w:top w:val="single" w:color="CFE3CF" w:sz="4"/>
              <w:left w:val="single" w:color="CFE3CF" w:sz="4"/>
              <w:bottom w:val="single" w:color="CFE3CF" w:sz="4"/>
              <w:right w:val="single" w:color="CFE3CF" w:sz="4"/>
            </w:tcBorders>
            <w:shd w:fill="FFFFFF" w:val="clear"/>
            <w:tcMar>
              <w:top w:type="dxa" w:w="100"/>
              <w:left w:type="dxa" w:w="140"/>
              <w:bottom w:type="dxa" w:w="100"/>
              <w:right w:type="dxa" w:w="140"/>
            </w:tcMar>
            <w:vAlign w:val="center"/>
          </w:tcPr>
          <w:p>
            <w:pPr>
              <w:jc w:val="center"/>
            </w:pPr>
            <w:r>
              <w:rPr>
                <w:b w:val="false"/>
                <w:bCs w:val="false"/>
                <w:color w:val="1A1A1A"/>
                <w:sz w:val="20"/>
                <w:szCs w:val="20"/>
              </w:rPr>
              <w:t xml:space="preserve">98,88 %</w:t>
            </w:r>
          </w:p>
        </w:tc>
      </w:tr>
      <w:tr>
        <w:tc>
          <w:tcPr>
            <w:tcW w:type="dxa" w:w="5680"/>
            <w:tcBorders>
              <w:top w:val="single" w:color="CFE3CF" w:sz="4"/>
              <w:left w:val="single" w:color="CFE3CF" w:sz="4"/>
              <w:bottom w:val="single" w:color="CFE3CF" w:sz="4"/>
              <w:right w:val="single" w:color="CFE3CF" w:sz="4"/>
            </w:tcBorders>
            <w:shd w:fill="EAF3EA" w:val="clear"/>
            <w:tcMar>
              <w:top w:type="dxa" w:w="100"/>
              <w:left w:type="dxa" w:w="140"/>
              <w:bottom w:type="dxa" w:w="100"/>
              <w:right w:type="dxa" w:w="140"/>
            </w:tcMar>
            <w:vAlign w:val="center"/>
          </w:tcPr>
          <w:p>
            <w:pPr>
              <w:jc w:val="left"/>
            </w:pPr>
            <w:r>
              <w:rPr>
                <w:b w:val="false"/>
                <w:bCs w:val="false"/>
                <w:color w:val="1A1A1A"/>
                <w:sz w:val="20"/>
                <w:szCs w:val="20"/>
              </w:rPr>
              <w:t xml:space="preserve">Loss finale (entraînement, époque 10)</w:t>
            </w:r>
          </w:p>
        </w:tc>
        <w:tc>
          <w:tcPr>
            <w:tcW w:type="dxa" w:w="3680"/>
            <w:tcBorders>
              <w:top w:val="single" w:color="CFE3CF" w:sz="4"/>
              <w:left w:val="single" w:color="CFE3CF" w:sz="4"/>
              <w:bottom w:val="single" w:color="CFE3CF" w:sz="4"/>
              <w:right w:val="single" w:color="CFE3CF" w:sz="4"/>
            </w:tcBorders>
            <w:shd w:fill="EAF3EA" w:val="clear"/>
            <w:tcMar>
              <w:top w:type="dxa" w:w="100"/>
              <w:left w:type="dxa" w:w="140"/>
              <w:bottom w:type="dxa" w:w="100"/>
              <w:right w:type="dxa" w:w="140"/>
            </w:tcMar>
            <w:vAlign w:val="center"/>
          </w:tcPr>
          <w:p>
            <w:pPr>
              <w:jc w:val="center"/>
            </w:pPr>
            <w:r>
              <w:rPr>
                <w:b w:val="false"/>
                <w:bCs w:val="false"/>
                <w:color w:val="1A1A1A"/>
                <w:sz w:val="20"/>
                <w:szCs w:val="20"/>
              </w:rPr>
              <w:t xml:space="preserve">0,0424</w:t>
            </w:r>
          </w:p>
        </w:tc>
      </w:tr>
      <w:tr>
        <w:tc>
          <w:tcPr>
            <w:tcW w:type="dxa" w:w="5680"/>
            <w:tcBorders>
              <w:top w:val="single" w:color="CFE3CF" w:sz="4"/>
              <w:left w:val="single" w:color="CFE3CF" w:sz="4"/>
              <w:bottom w:val="single" w:color="CFE3CF" w:sz="4"/>
              <w:right w:val="single" w:color="CFE3CF" w:sz="4"/>
            </w:tcBorders>
            <w:shd w:fill="FFFFFF" w:val="clear"/>
            <w:tcMar>
              <w:top w:type="dxa" w:w="100"/>
              <w:left w:type="dxa" w:w="140"/>
              <w:bottom w:type="dxa" w:w="100"/>
              <w:right w:type="dxa" w:w="140"/>
            </w:tcMar>
            <w:vAlign w:val="center"/>
          </w:tcPr>
          <w:p>
            <w:pPr>
              <w:jc w:val="left"/>
            </w:pPr>
            <w:r>
              <w:rPr>
                <w:b w:val="false"/>
                <w:bCs w:val="false"/>
                <w:color w:val="1A1A1A"/>
                <w:sz w:val="20"/>
                <w:szCs w:val="20"/>
              </w:rPr>
              <w:t xml:space="preserve">Nombre de classes évaluées</w:t>
            </w:r>
          </w:p>
        </w:tc>
        <w:tc>
          <w:tcPr>
            <w:tcW w:type="dxa" w:w="3680"/>
            <w:tcBorders>
              <w:top w:val="single" w:color="CFE3CF" w:sz="4"/>
              <w:left w:val="single" w:color="CFE3CF" w:sz="4"/>
              <w:bottom w:val="single" w:color="CFE3CF" w:sz="4"/>
              <w:right w:val="single" w:color="CFE3CF" w:sz="4"/>
            </w:tcBorders>
            <w:shd w:fill="FFFFFF" w:val="clear"/>
            <w:tcMar>
              <w:top w:type="dxa" w:w="100"/>
              <w:left w:type="dxa" w:w="140"/>
              <w:bottom w:type="dxa" w:w="100"/>
              <w:right w:type="dxa" w:w="140"/>
            </w:tcMar>
            <w:vAlign w:val="center"/>
          </w:tcPr>
          <w:p>
            <w:pPr>
              <w:jc w:val="center"/>
            </w:pPr>
            <w:r>
              <w:rPr>
                <w:b w:val="false"/>
                <w:bCs w:val="false"/>
                <w:color w:val="1A1A1A"/>
                <w:sz w:val="20"/>
                <w:szCs w:val="20"/>
              </w:rPr>
              <w:t xml:space="preserve">38</w:t>
            </w:r>
          </w:p>
        </w:tc>
      </w:tr>
      <w:tr>
        <w:tc>
          <w:tcPr>
            <w:tcW w:type="dxa" w:w="5680"/>
            <w:tcBorders>
              <w:top w:val="single" w:color="CFE3CF" w:sz="4"/>
              <w:left w:val="single" w:color="CFE3CF" w:sz="4"/>
              <w:bottom w:val="single" w:color="CFE3CF" w:sz="4"/>
              <w:right w:val="single" w:color="CFE3CF" w:sz="4"/>
            </w:tcBorders>
            <w:shd w:fill="EAF3EA" w:val="clear"/>
            <w:tcMar>
              <w:top w:type="dxa" w:w="100"/>
              <w:left w:type="dxa" w:w="140"/>
              <w:bottom w:type="dxa" w:w="100"/>
              <w:right w:type="dxa" w:w="140"/>
            </w:tcMar>
            <w:vAlign w:val="center"/>
          </w:tcPr>
          <w:p>
            <w:pPr>
              <w:jc w:val="left"/>
            </w:pPr>
            <w:r>
              <w:rPr>
                <w:b w:val="false"/>
                <w:bCs w:val="false"/>
                <w:color w:val="1A1A1A"/>
                <w:sz w:val="20"/>
                <w:szCs w:val="20"/>
              </w:rPr>
              <w:t xml:space="preserve">Métriques de test calculées</w:t>
            </w:r>
          </w:p>
        </w:tc>
        <w:tc>
          <w:tcPr>
            <w:tcW w:type="dxa" w:w="3680"/>
            <w:tcBorders>
              <w:top w:val="single" w:color="CFE3CF" w:sz="4"/>
              <w:left w:val="single" w:color="CFE3CF" w:sz="4"/>
              <w:bottom w:val="single" w:color="CFE3CF" w:sz="4"/>
              <w:right w:val="single" w:color="CFE3CF" w:sz="4"/>
            </w:tcBorders>
            <w:shd w:fill="EAF3EA" w:val="clear"/>
            <w:tcMar>
              <w:top w:type="dxa" w:w="100"/>
              <w:left w:type="dxa" w:w="140"/>
              <w:bottom w:type="dxa" w:w="100"/>
              <w:right w:type="dxa" w:w="140"/>
            </w:tcMar>
            <w:vAlign w:val="center"/>
          </w:tcPr>
          <w:p>
            <w:pPr>
              <w:jc w:val="center"/>
            </w:pPr>
            <w:r>
              <w:rPr>
                <w:b w:val="false"/>
                <w:bCs w:val="false"/>
                <w:color w:val="1A1A1A"/>
                <w:sz w:val="20"/>
                <w:szCs w:val="20"/>
              </w:rPr>
              <w:t xml:space="preserve">Précision, rappel, F1-score (par classe) + matrice de confusion</w:t>
            </w:r>
          </w:p>
        </w:tc>
      </w:tr>
    </w:tbl>
    <w:p>
      <w:r>
        <w:br w:type="page"/>
      </w:r>
    </w:p>
    <w:p>
      <w:pPr>
        <w:pStyle w:val="Heading1"/>
      </w:pPr>
      <w:r>
        <w:t xml:space="preserve">6. Conclusion et Perspectives</w:t>
      </w:r>
    </w:p>
    <w:p>
      <w:pPr>
        <w:spacing w:after="160" w:line="276"/>
      </w:pPr>
      <w:r>
        <w:t xml:space="preserve">Ce projet démontre l'efficacité du Transfer Learning avec ResNet50 pour la classification de maladies des plantes à partir d'images de feuilles. Avec une accuracy d'entraînement proche de 99 % et une diagonale de confusion nette sur le jeu de test, le modèle constitue une base solide pour une application de diagnostic agricole automatisé.</w:t>
      </w:r>
    </w:p>
    <w:p>
      <w:pPr>
        <w:spacing w:after="160" w:line="276"/>
      </w:pPr>
      <w:r>
        <w:t xml:space="preserve">Plusieurs axes d'amélioration pourraient être explorés pour la suite du projet :</w:t>
      </w:r>
    </w:p>
    <w:p>
      <w:pPr>
        <w:pStyle w:val="ListParagraph"/>
        <w:numPr>
          <w:ilvl w:val="0"/>
          <w:numId w:val="2"/>
        </w:numPr>
        <w:spacing w:after="100" w:line="276"/>
      </w:pPr>
      <w:r>
        <w:t xml:space="preserve">Dégeler progressivement les dernières couches convolutives de ResNet50 (fine-tuning) pour affiner davantage les performances.</w:t>
      </w:r>
    </w:p>
    <w:p>
      <w:pPr>
        <w:pStyle w:val="ListParagraph"/>
        <w:numPr>
          <w:ilvl w:val="0"/>
          <w:numId w:val="2"/>
        </w:numPr>
        <w:spacing w:after="100" w:line="276"/>
      </w:pPr>
      <w:r>
        <w:t xml:space="preserve">Enrichir la data augmentation pour réduire les confusions entre classes visuellement proches (ex. Tomato Early blight / Septoria leaf spot).</w:t>
      </w:r>
    </w:p>
    <w:p>
      <w:pPr>
        <w:pStyle w:val="ListParagraph"/>
        <w:numPr>
          <w:ilvl w:val="0"/>
          <w:numId w:val="2"/>
        </w:numPr>
        <w:spacing w:after="100" w:line="276"/>
      </w:pPr>
      <w:r>
        <w:t xml:space="preserve">Rééquilibrer le dataset (sur- ou sous-échantillonnage) pour les classes minoritaires comme Potato — healthy.</w:t>
      </w:r>
    </w:p>
    <w:p>
      <w:pPr>
        <w:pStyle w:val="ListParagraph"/>
        <w:numPr>
          <w:ilvl w:val="0"/>
          <w:numId w:val="2"/>
        </w:numPr>
        <w:spacing w:after="100" w:line="276"/>
      </w:pPr>
      <w:r>
        <w:t xml:space="preserve">Déployer le modèle (fichier plant_resnet50_v1.pth) dans une application mobile ou web afin de permettre un diagnostic en temps réel sur le terrain.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E3CF" w:sz="4" w:space="4"/>
      </w:pBdr>
      <w:tabs>
        <w:tab w:val="right" w:pos="9026"/>
      </w:tabs>
    </w:pPr>
    <w:r>
      <w:rPr>
        <w:color w:val="595959"/>
        <w:sz w:val="16"/>
        <w:szCs w:val="16"/>
      </w:rPr>
      <w:t xml:space="preserve">Détection de Maladies des Cultures</w:t>
    </w:r>
    <w:r>
      <w:rPr>
        <w:color w:val="595959"/>
        <w:sz w:val="16"/>
        <w:szCs w:val="16"/>
      </w:rPr>
      <w:t xml:space="preserve">	PlantVillage · ResNet50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D32" w:sz="8" w:space="4"/>
      </w:pBdr>
      <w:spacing w:after="200" w:before="380"/>
      <w:outlineLvl w:val="0"/>
    </w:pPr>
    <w:rPr>
      <w:rFonts w:ascii="Calibri" w:cs="Calibri" w:eastAsia="Calibri" w:hAnsi="Calibri"/>
      <w:b/>
      <w:bCs/>
      <w:color w:val="1B5E20"/>
      <w:sz w:val="32"/>
      <w:szCs w:val="32"/>
    </w:rPr>
  </w:style>
  <w:style w:type="paragraph" w:styleId="Heading2">
    <w:name w:val="Heading 2"/>
    <w:basedOn w:val="Normal"/>
    <w:next w:val="Normal"/>
    <w:qFormat/>
    <w:pPr>
      <w:spacing w:after="140" w:before="260"/>
      <w:outlineLvl w:val="1"/>
    </w:pPr>
    <w:rPr>
      <w:rFonts w:ascii="Calibri" w:cs="Calibri" w:eastAsia="Calibri" w:hAnsi="Calibri"/>
      <w:b/>
      <w:bCs/>
      <w:color w:val="1B5E20"/>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cdf829a3ca1d2ef0b796322d390bda676fae231.png"/><Relationship Id="rId10" Type="http://schemas.openxmlformats.org/officeDocument/2006/relationships/image" Target="media/f4cc5b876a1f2a25811d371ce9e7bddd4c26fdd4.png"/><Relationship Id="rId11" Type="http://schemas.openxmlformats.org/officeDocument/2006/relationships/image" Target="media/46238609e304dde8a1fa869a440acc569c0c276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2026-06-21T10:54:18.198Z</dcterms:created>
  <dcterms:modified xsi:type="dcterms:W3CDTF">2026-06-21T10:54:18.198Z</dcterms:modified>
</cp:coreProperties>
</file>

<file path=docProps/custom.xml><?xml version="1.0" encoding="utf-8"?>
<Properties xmlns="http://schemas.openxmlformats.org/officeDocument/2006/custom-properties" xmlns:vt="http://schemas.openxmlformats.org/officeDocument/2006/docPropsVTypes"/>
</file>