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600"/>
      </w:pPr>
      <w:r>
        <w:rPr>
          <w:rFonts w:ascii="Calibri" w:cs="Calibri" w:eastAsia="Calibri" w:hAnsi="Calibri"/>
          <w:b/>
          <w:bCs/>
          <w:color w:val="E8551F"/>
          <w:sz w:val="56"/>
          <w:szCs w:val="56"/>
        </w:rPr>
        <w:t xml:space="preserve">KOI Content Pack</w:t>
      </w:r>
    </w:p>
    <w:p>
      <w:pPr>
        <w:spacing w:after="120"/>
      </w:pPr>
      <w:r>
        <w:rPr>
          <w:rFonts w:ascii="Calibri" w:cs="Calibri" w:eastAsia="Calibri" w:hAnsi="Calibri"/>
          <w:b/>
          <w:bCs/>
          <w:color w:val="1F2937"/>
          <w:sz w:val="40"/>
          <w:szCs w:val="40"/>
        </w:rPr>
        <w:t xml:space="preserve">Test Guide by Use Case</w:t>
      </w:r>
    </w:p>
    <w:p>
      <w:pPr>
        <w:spacing w:after="600"/>
      </w:pPr>
      <w:r>
        <w:rPr>
          <w:rFonts w:ascii="Calibri" w:cs="Calibri" w:eastAsia="Calibri" w:hAnsi="Calibri"/>
          <w:i/>
          <w:iCs/>
          <w:color w:val="6B7280"/>
          <w:sz w:val="24"/>
          <w:szCs w:val="24"/>
        </w:rPr>
        <w:t xml:space="preserve">Seven use cases — what to do, what to expect, and why it matters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cantSplit/>
          <w:tblHeader/>
        </w:trPr>
        <w:tc>
          <w:tcPr>
            <w:tcW w:type="dxa" w:w="2600"/>
            <w:shd w:fill="33415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Document</w:t>
            </w:r>
          </w:p>
        </w:tc>
        <w:tc>
          <w:tcPr>
            <w:tcW w:type="dxa" w:w="6760"/>
            <w:shd w:fill="33415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KOI Content Pack — Test Guide by Use Case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Pack version</w:t>
            </w:r>
          </w:p>
        </w:tc>
        <w:tc>
          <w:tcPr>
            <w:tcW w:type="dxa" w:w="67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1.5.0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Guide revision</w:t>
            </w:r>
          </w:p>
        </w:tc>
        <w:tc>
          <w:tcPr>
            <w:tcW w:type="dxa" w:w="67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1.0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Applies to</w:t>
            </w:r>
          </w:p>
        </w:tc>
        <w:tc>
          <w:tcPr>
            <w:tcW w:type="dxa" w:w="67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Cortex XSIAM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Last updated</w:t>
            </w:r>
          </w:p>
        </w:tc>
        <w:tc>
          <w:tcPr>
            <w:tcW w:type="dxa" w:w="67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July 25, 2026</w:t>
            </w:r>
          </w:p>
        </w:tc>
      </w:tr>
    </w:tbl>
    <w:p>
      <w:pPr>
        <w:spacing w:before="300"/>
      </w:pPr>
    </w:p>
    <w:p>
      <w:pPr>
        <w:spacing w:after="120"/>
      </w:pPr>
      <w:r>
        <w:rPr>
          <w:rFonts w:ascii="Calibri" w:cs="Calibri" w:eastAsia="Calibri" w:hAnsi="Calibri"/>
          <w:i/>
          <w:iCs/>
          <w:color w:val="6B7280"/>
          <w:sz w:val="22"/>
          <w:szCs w:val="22"/>
        </w:rPr>
        <w:t xml:space="preserve">Work top to bottom the first time — later use cases assume earlier ones passed.</w:t>
      </w:r>
    </w:p>
    <w:p>
      <w:r>
        <w:br w:type="page"/>
      </w:r>
    </w:p>
    <w:p>
      <w:pPr>
        <w:spacing w:after="120"/>
      </w:pPr>
      <w:r>
        <w:rPr>
          <w:rFonts w:ascii="Calibri" w:cs="Calibri" w:eastAsia="Calibri" w:hAnsi="Calibri"/>
          <w:b/>
          <w:bCs/>
          <w:color w:val="1F2937"/>
          <w:sz w:val="28"/>
          <w:szCs w:val="28"/>
        </w:rPr>
        <w:t xml:space="preserve">Contents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E8551F"/>
          <w:sz w:val="32"/>
          <w:szCs w:val="32"/>
        </w:rPr>
        <w:t xml:space="preserve">Before You Start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cantSplit/>
          <w:tblHeader/>
        </w:trPr>
        <w:tc>
          <w:tcPr>
            <w:tcW w:type="dxa" w:w="3000"/>
            <w:shd w:fill="33415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Need</w:t>
            </w:r>
          </w:p>
        </w:tc>
        <w:tc>
          <w:tcPr>
            <w:tcW w:type="dxa" w:w="6360"/>
            <w:shd w:fill="33415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Why it matters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Pack installed with demisto-sdk … --xsiam</w:t>
            </w:r>
          </w:p>
        </w:tc>
        <w:tc>
          <w:tcPr>
            <w:tcW w:type="dxa" w:w="63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A zip upload lands the content but not working event collection.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KOI integration instance, test green</w:t>
            </w:r>
          </w:p>
        </w:tc>
        <w:tc>
          <w:tcPr>
            <w:tcW w:type="dxa" w:w="63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Everything except the Script Runner reads the KOI API.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An egress IP KOI accepts, or a Cortex engine that has one</w:t>
            </w:r>
          </w:p>
        </w:tc>
        <w:tc>
          <w:tcPr>
            <w:tcW w:type="dxa" w:w="63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KOI restricts its sensitive endpoints by source IP. A wrong egress returns HTTP 403 even with a valid key.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Core REST API integration enabled</w:t>
            </w:r>
          </w:p>
        </w:tc>
        <w:tc>
          <w:tcPr>
            <w:tcW w:type="dxa" w:w="63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KoiScanTracker pages endpoint groups past the 100-endpoint cap through it.</w:t>
            </w:r>
          </w:p>
        </w:tc>
      </w:tr>
    </w:tbl>
    <w:p>
      <w:pPr>
        <w:spacing w:after="120" w:before="20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Check the engine before anything else. If the instance runs on a Cortex engine and that engine is disconnected, every koi-* command fails with "Engine … is not connected" before it ever reaches KOI. That reads like an integration fault and is not one.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6"/>
          <w:szCs w:val="26"/>
        </w:rPr>
        <w:t xml:space="preserve">Generating test data on demand</w:t>
      </w:r>
    </w:p>
    <w:p>
      <w:pPr>
        <w:spacing w:after="12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You do not have to wait for real KOI activity. The KoiSimulateEvents automation (TestTools/KoiSimulateEvents) generates events shaped exactly like real ones and reports the answers in advance, so you check arithmetic rather than impressions.</w:t>
      </w:r>
    </w:p>
    <w:p>
      <w:pPr>
        <w:shd w:fill="F3F4F6" w:val="clear"/>
        <w:spacing w:after="6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!KoiSimulateEvents alerts=40 duplicate_factor=8 audit=60</w:t>
      </w:r>
    </w:p>
    <w:p>
      <w:pPr>
        <w:spacing w:after="120" w:before="140"/>
      </w:pPr>
      <w:r>
        <w:rPr>
          <w:rFonts w:ascii="Calibri" w:cs="Calibri" w:eastAsia="Calibri" w:hAnsi="Calibri"/>
          <w:i/>
          <w:iCs/>
          <w:color w:val="6B7280"/>
          <w:sz w:val="22"/>
          <w:szCs w:val="22"/>
        </w:rPr>
        <w:t xml:space="preserve">It writes to koisim_koisim_raw, never koi_koi_raw, so it cannot corrupt real data or a second project's measurements. Query that dataset, or substitute its name into any query you are testing.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E8551F"/>
          <w:sz w:val="32"/>
          <w:szCs w:val="32"/>
        </w:rPr>
        <w:t xml:space="preserve">1. Event Collection</w:t>
      </w:r>
    </w:p>
    <w:p>
      <w:pPr>
        <w:spacing w:after="12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Why: everything downstream reads koi_koi_raw. If collection is wrong, every later result is wrong in a way that looks like a content bug.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6"/>
          <w:szCs w:val="26"/>
        </w:rPr>
        <w:t xml:space="preserve">Do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Enable Fetch events on the instance and wait two cycles.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Run:</w:t>
      </w:r>
    </w:p>
    <w:p>
      <w:pPr>
        <w:shd w:fill="F3F4F6" w:val="clear"/>
        <w:spacing w:after="6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dataset = koi_koi_raw | comp count() as rows by source_log_type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6"/>
          <w:szCs w:val="26"/>
        </w:rPr>
        <w:t xml:space="preserve">Expect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Rows under both Alerts and Audit.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6"/>
          <w:szCs w:val="26"/>
        </w:rPr>
        <w:t xml:space="preserve">Then check the counts mean what they say</w:t>
      </w:r>
    </w:p>
    <w:p>
      <w:pPr>
        <w:shd w:fill="F3F4F6" w:val="clear"/>
        <w:spacing w:after="6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dataset = koi_koi_raw | filter source_log_type = "Alerts"</w:t>
      </w:r>
    </w:p>
    <w:p>
      <w:pPr>
        <w:shd w:fill="F3F4F6" w:val="clear"/>
        <w:spacing w:after="6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| alter nid = json_extract_scalar(metadata, "$.notification_event_id")</w:t>
      </w:r>
    </w:p>
    <w:p>
      <w:pPr>
        <w:shd w:fill="F3F4F6" w:val="clear"/>
        <w:spacing w:after="6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| comp count() as rows, count_distinct(nid) as real_alerts</w:t>
      </w:r>
    </w:p>
    <w:p>
      <w:pPr>
        <w:spacing w:after="120" w:before="20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rows will be far larger than real_alerts. That gap is normal — KOI re-sends every still-open alert on each fetch. notification_event_id is the only per-alert identity; koi_event_id is the scan batch and finding_uid is the policy definition. Anything counting alerts must use count_distinct on the notification id.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cantSplit/>
          <w:tblHeader/>
        </w:trPr>
        <w:tc>
          <w:tcPr>
            <w:tcW w:type="dxa" w:w="3000"/>
            <w:shd w:fill="33415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If you see</w:t>
            </w:r>
          </w:p>
        </w:tc>
        <w:tc>
          <w:tcPr>
            <w:tcW w:type="dxa" w:w="6360"/>
            <w:shd w:fill="33415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It means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No Audit rows</w:t>
            </w:r>
          </w:p>
        </w:tc>
        <w:tc>
          <w:tcPr>
            <w:tcW w:type="dxa" w:w="63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The Audit types parameter is narrowed. Leave it empty for all types.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rows equals real_alerts</w:t>
            </w:r>
          </w:p>
        </w:tc>
        <w:tc>
          <w:tcPr>
            <w:tcW w:type="dxa" w:w="63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Only one fetch has run, or every alert closed immediately. Not an error.</w:t>
            </w:r>
          </w:p>
        </w:tc>
      </w:tr>
    </w:tbl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E8551F"/>
          <w:sz w:val="32"/>
          <w:szCs w:val="32"/>
        </w:rPr>
        <w:t xml:space="preserve">2. Alert Triage</w:t>
      </w:r>
    </w:p>
    <w:p>
      <w:pPr>
        <w:spacing w:after="12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Why: this is the pack's main automation. It must reach a verdict from KOI's real vocabulary, and must not re-investigate the same alert over and over.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6"/>
          <w:szCs w:val="26"/>
        </w:rPr>
        <w:t xml:space="preserve">Do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Attach KOI - Alert Triage to a KOI alert, or run it on an existing one:</w:t>
      </w:r>
    </w:p>
    <w:p>
      <w:pPr>
        <w:shd w:fill="F3F4F6" w:val="clear"/>
        <w:spacing w:after="6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!setPlaybook playbookId="KOI - Alert Triage"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Open the war room.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6"/>
          <w:szCs w:val="26"/>
        </w:rPr>
        <w:t xml:space="preserve">Expect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A KoiContext object carrying item id, marketplace, risk level and hostname.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An investigation summary, then a verdict: Malicious, Suspicious or Benign.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Low-risk items auto-close. Critical and high escalate. Medium and pending stay open for an analyst.</w:t>
      </w:r>
    </w:p>
    <w:p>
      <w:pPr>
        <w:spacing w:after="120" w:before="20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Why those three: the verdict keys on risk_level, which KOI sends in lowercase (critical / high / medium / low / pending), plus the independent catalog risk. A pending item is one KOI has not finished assessing, so it deliberately does not auto-close.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6"/>
          <w:szCs w:val="26"/>
        </w:rPr>
        <w:t xml:space="preserve">Then test the dedupe</w:t>
      </w:r>
    </w:p>
    <w:p>
      <w:pPr>
        <w:spacing w:after="12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Run triage twice against alerts sharing one notification id.</w:t>
      </w:r>
    </w:p>
    <w:p>
      <w:pPr>
        <w:spacing w:after="12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Expect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the second run to stop early with a DUPLICATE entry naming the alert that already handled it.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cantSplit/>
          <w:tblHeader/>
        </w:trPr>
        <w:tc>
          <w:tcPr>
            <w:tcW w:type="dxa" w:w="3000"/>
            <w:shd w:fill="33415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If you see</w:t>
            </w:r>
          </w:p>
        </w:tc>
        <w:tc>
          <w:tcPr>
            <w:tcW w:type="dxa" w:w="6360"/>
            <w:shd w:fill="33415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It means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KoiContext empty, everything Suspicious</w:t>
            </w:r>
          </w:p>
        </w:tc>
        <w:tc>
          <w:tcPr>
            <w:tcW w:type="dxa" w:w="63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The alert carried no OCSF payload and no koi_context blob. Check the correlation rule passes the KOI fields through. This is the most common cause.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No DUPLICATE on a repeat</w:t>
            </w:r>
          </w:p>
        </w:tc>
        <w:tc>
          <w:tcPr>
            <w:tcW w:type="dxa" w:w="63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The notification id was empty. The gate is built to fall through to normal triage rather than swallow an alert.</w:t>
            </w:r>
          </w:p>
        </w:tc>
      </w:tr>
    </w:tbl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E8551F"/>
          <w:sz w:val="32"/>
          <w:szCs w:val="32"/>
        </w:rPr>
        <w:t xml:space="preserve">3. Investigation Depth</w:t>
      </w:r>
    </w:p>
    <w:p>
      <w:pPr>
        <w:spacing w:after="12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Why: a verdict is only as good as what sits behind it, and an analyst approving a block needs the whole picture.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6"/>
          <w:szCs w:val="26"/>
        </w:rPr>
        <w:t xml:space="preserve">Do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Run KOI - Investigate Item with an item_id and marketplace.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Run KOI - Investigate Device with a device id.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6"/>
          <w:szCs w:val="26"/>
        </w:rPr>
        <w:t xml:space="preserve">Expect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A KoiInvestigation summary with catalog risk and the AI summary.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Organisation exposure: installs, endpoints affected, users.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Both governance counts — blocklisted_count </w:t>
      </w: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and</w:t>
      </w: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 allowlisted_count.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For the device: everything installed on that host, plus a risky-items table.</w:t>
      </w:r>
    </w:p>
    <w:p>
      <w:pPr>
        <w:spacing w:after="120" w:before="20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Why both counts matter: zero blocklist hits alone does not mean "not governed". It can mean somebody explicitly allowed the item. Without the allowlist read, an allowlisted item stays a valid block candidate.</w:t>
      </w:r>
    </w:p>
    <w:p>
      <w:pPr>
        <w:spacing w:after="120" w:before="160"/>
      </w:pPr>
      <w:r>
        <w:rPr>
          <w:rFonts w:ascii="Calibri" w:cs="Calibri" w:eastAsia="Calibri" w:hAnsi="Calibri"/>
          <w:i/>
          <w:iCs/>
          <w:color w:val="6B7280"/>
          <w:sz w:val="22"/>
          <w:szCs w:val="22"/>
        </w:rPr>
        <w:t xml:space="preserve">Enrichment is best-effort by design. If it comes back empty while the playbook stays green, confirm reachability with !koi-users-list limit=1 before assuming a content fault.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E8551F"/>
          <w:sz w:val="32"/>
          <w:szCs w:val="32"/>
        </w:rPr>
        <w:t xml:space="preserve">4. Gated Response</w:t>
      </w:r>
    </w:p>
    <w:p>
      <w:pPr>
        <w:spacing w:after="12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Why: this is the only state-changing action in the pack. It must never fire without a human.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6"/>
          <w:szCs w:val="26"/>
        </w:rPr>
        <w:t xml:space="preserve">Do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Run KOI - Block and Remediate with an item_id and marketplace.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6"/>
          <w:szCs w:val="26"/>
        </w:rPr>
        <w:t xml:space="preserve">Expect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The run parks on an approval task.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The approval shows catalog and org risk, exposure, remediation history, and the governance line — including a warning when the item is already allowlisted.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Nothing reaches the blocklist until somebody approves.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An item already on the blocklist short-circuits instead of being added twice.</w:t>
      </w:r>
    </w:p>
    <w:p>
      <w:pPr>
        <w:spacing w:after="120" w:before="200"/>
      </w:pPr>
      <w:r>
        <w:rPr>
          <w:rFonts w:ascii="Calibri" w:cs="Calibri" w:eastAsia="Calibri" w:hAnsi="Calibri"/>
          <w:b/>
          <w:bCs/>
          <w:color w:val="B42318"/>
          <w:sz w:val="22"/>
          <w:szCs w:val="22"/>
        </w:rPr>
        <w:t xml:space="preserve">This is the gate to re-run after any change to the response playbook. If it ever completes without parking, stop and investigate before using the pack in production.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E8551F"/>
          <w:sz w:val="32"/>
          <w:szCs w:val="32"/>
        </w:rPr>
        <w:t xml:space="preserve">5. Proactive Hunting</w:t>
      </w:r>
    </w:p>
    <w:p>
      <w:pPr>
        <w:spacing w:after="12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Why: finds risk that nobody alerted on.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6"/>
          <w:szCs w:val="26"/>
        </w:rPr>
        <w:t xml:space="preserve">Do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Run KOI - MCP Server Audit, directly or from a Job.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Run a few library hunts from docs/xql — start with H2.1 and H1.3.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6"/>
          <w:szCs w:val="26"/>
        </w:rPr>
        <w:t xml:space="preserve">Expect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The audit lists MCP servers at or above the risk threshold.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The hunts return findings KOI scored but nobody actioned.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cantSplit/>
          <w:tblHeader/>
        </w:trPr>
        <w:tc>
          <w:tcPr>
            <w:tcW w:type="dxa" w:w="3000"/>
            <w:shd w:fill="33415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Worth knowing</w:t>
            </w:r>
          </w:p>
        </w:tc>
        <w:tc>
          <w:tcPr>
            <w:tcW w:type="dxa" w:w="6360"/>
            <w:shd w:fill="33415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Detail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view=mcp_servers</w:t>
            </w:r>
          </w:p>
        </w:tc>
        <w:tc>
          <w:tcPr>
            <w:tcW w:type="dxa" w:w="63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Now selectable in the argument dropdown. It previously worked only when a playbook passed it literally.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view=all_items</w:t>
            </w:r>
          </w:p>
        </w:tc>
        <w:tc>
          <w:tcPr>
            <w:tcW w:type="dxa" w:w="63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Accepted by the API but returns nothing. Omit view entirely to query everything.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The library</w:t>
            </w:r>
          </w:p>
        </w:tc>
        <w:tc>
          <w:tcPr>
            <w:tcW w:type="dxa" w:w="63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26 hunts and 46 detections in docs/xql. Read QUERY_LIBRARY.md first. They read raw dataset columns, so they do not depend on the modeling rule.</w:t>
            </w:r>
          </w:p>
        </w:tc>
      </w:tr>
    </w:tbl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E8551F"/>
          <w:sz w:val="32"/>
          <w:szCs w:val="32"/>
        </w:rPr>
        <w:t xml:space="preserve">6. Fleet Script Execution</w:t>
      </w:r>
    </w:p>
    <w:p>
      <w:pPr>
        <w:spacing w:after="12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Why: runs KOI deployment scripts across endpoints on a schedule, and must cover groups larger than the platform's 100-endpoint query cap.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6"/>
          <w:szCs w:val="26"/>
        </w:rPr>
        <w:t xml:space="preserve">Do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Create the JSON List Koi Script Runner, with tracker_list and rescan_interval_hours set per entry.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Run the Refresh job (Koi Unified - Refresh Tracker) </w:t>
      </w: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first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Then run the Scan job (Koi Unified - Script Runner).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6"/>
          <w:szCs w:val="26"/>
        </w:rPr>
        <w:t xml:space="preserve">Expect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Refresh fills the tracker List with endpoint_id,last_scan rows — it creates the List for you.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Scan dispatches to due, connected endpoints and stamps their last_scan.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Offline, wrong-OS and not-in-inventory endpoints stay due and retry on the next run.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A second Scan straight afterwards does nothing — everything is inside the rescan interval.</w:t>
      </w:r>
    </w:p>
    <w:p>
      <w:pPr>
        <w:spacing w:after="120" w:before="20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Why Refresh first: Scan reads the tracker. An empty tracker means nothing is due, and that run is a legitimate no-op that can easily look like a failure.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6"/>
          <w:szCs w:val="26"/>
        </w:rPr>
        <w:t xml:space="preserve">Outcomes that are not failures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cantSplit/>
          <w:tblHeader/>
        </w:trPr>
        <w:tc>
          <w:tcPr>
            <w:tcW w:type="dxa" w:w="2600"/>
            <w:shd w:fill="33415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Entry</w:t>
            </w:r>
          </w:p>
        </w:tc>
        <w:tc>
          <w:tcPr>
            <w:tcW w:type="dxa" w:w="6760"/>
            <w:shd w:fill="33415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means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SKIPPED</w:t>
            </w:r>
          </w:p>
        </w:tc>
        <w:tc>
          <w:tcPr>
            <w:tcW w:type="dxa" w:w="67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Nothing due and connected right now. Sends no email, by design.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STILL RUNNING</w:t>
            </w:r>
          </w:p>
        </w:tc>
        <w:tc>
          <w:tcPr>
            <w:tcW w:type="dxa" w:w="67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Dispatched, but polling ended before Action Center finished. The endpoints are already marked and the action completes on its own. Sends no email.</w:t>
            </w:r>
          </w:p>
        </w:tc>
      </w:tr>
    </w:tbl>
    <w:p>
      <w:pPr>
        <w:spacing w:after="120" w:before="20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If neither job ever runs, confirm each Job is enabled and shows a next-run time. A newly created Job can land disabled.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E8551F"/>
          <w:sz w:val="32"/>
          <w:szCs w:val="32"/>
        </w:rPr>
        <w:t xml:space="preserve">7. Dashboard</w:t>
      </w:r>
    </w:p>
    <w:p>
      <w:pPr>
        <w:spacing w:after="12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Why: these numbers get quoted to other people.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6"/>
          <w:szCs w:val="26"/>
        </w:rPr>
        <w:t xml:space="preserve">Do</w:t>
      </w:r>
    </w:p>
    <w:p>
      <w:pPr>
        <w:spacing w:after="12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Open the KOI Alerts Dashboard.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6"/>
          <w:szCs w:val="26"/>
        </w:rPr>
        <w:t xml:space="preserve">Expect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Alert counts far lower than raw row counts.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Counts that stay stable as fetch cycles repeat.</w:t>
      </w:r>
    </w:p>
    <w:p>
      <w:pPr>
        <w:spacing w:after="120" w:before="20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Every Alerts widget dedupes on the notification id before counting, so it reports alerts rather than re-deliveries. If a widget's number climbs steadily while nothing new is happening in KOI, that widget is counting fetches.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E8551F"/>
          <w:sz w:val="32"/>
          <w:szCs w:val="32"/>
        </w:rPr>
        <w:t xml:space="preserve">Sign-off</w:t>
      </w:r>
    </w:p>
    <w:p>
      <w:pPr>
        <w:spacing w:after="12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One line of evidence per use case.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3100"/>
        <w:gridCol w:w="5560"/>
      </w:tblGrid>
      <w:tr>
        <w:trPr>
          <w:cantSplit/>
          <w:tblHeader/>
        </w:trPr>
        <w:tc>
          <w:tcPr>
            <w:tcW w:type="dxa" w:w="700"/>
            <w:shd w:fill="33415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3100"/>
            <w:shd w:fill="33415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Use case</w:t>
            </w:r>
          </w:p>
        </w:tc>
        <w:tc>
          <w:tcPr>
            <w:tcW w:type="dxa" w:w="5560"/>
            <w:shd w:fill="33415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Evidence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1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Event collection</w:t>
            </w:r>
          </w:p>
        </w:tc>
        <w:tc>
          <w:tcPr>
            <w:tcW w:type="dxa" w:w="55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Both Alerts and Audit present; count_distinct(nid) well below raw rows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2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Alert triage</w:t>
            </w:r>
          </w:p>
        </w:tc>
        <w:tc>
          <w:tcPr>
            <w:tcW w:type="dxa" w:w="55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Verdict reached; low risk auto-closes; a repeat notification stops as DUPLICATE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3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Investigation depth</w:t>
            </w:r>
          </w:p>
        </w:tc>
        <w:tc>
          <w:tcPr>
            <w:tcW w:type="dxa" w:w="55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Investigation carries catalog risk and both governance counts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4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Gated response</w:t>
            </w:r>
          </w:p>
        </w:tc>
        <w:tc>
          <w:tcPr>
            <w:tcW w:type="dxa" w:w="55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Run parks on approval; blocklist untouched until approved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5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Proactive hunting</w:t>
            </w:r>
          </w:p>
        </w:tc>
        <w:tc>
          <w:tcPr>
            <w:tcW w:type="dxa" w:w="55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MCP audit returns servers at or above threshold; hunts run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6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Fleet script execution</w:t>
            </w:r>
          </w:p>
        </w:tc>
        <w:tc>
          <w:tcPr>
            <w:tcW w:type="dxa" w:w="55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Refresh fills the tracker; Scan marks only due and connected; re-run is a no-op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7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Dashboard</w:t>
            </w:r>
          </w:p>
        </w:tc>
        <w:tc>
          <w:tcPr>
            <w:tcW w:type="dxa" w:w="55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9"/>
                <w:szCs w:val="19"/>
              </w:rPr>
              <w:t xml:space="preserve">Alert counts stable across fetch cycles</w:t>
            </w:r>
          </w:p>
        </w:tc>
      </w:tr>
    </w:tbl>
    <w:p>
      <w:pPr>
        <w:spacing w:after="120" w:before="200"/>
      </w:pPr>
      <w:r>
        <w:rPr>
          <w:rFonts w:ascii="Calibri" w:cs="Calibri" w:eastAsia="Calibri" w:hAnsi="Calibri"/>
          <w:b/>
          <w:bCs/>
          <w:color w:val="1F7A3D"/>
          <w:sz w:val="22"/>
          <w:szCs w:val="22"/>
        </w:rPr>
        <w:t xml:space="preserve">All seven green means the pack is ready for production use.</w:t>
      </w:r>
    </w:p>
    <w:p>
      <w:pPr>
        <w:pBdr>
          <w:bottom w:val="single" w:color="E8551F" w:sz="12"/>
        </w:pBdr>
        <w:spacing w:after="200"/>
      </w:pPr>
    </w:p>
    <w:p>
      <w:pPr>
        <w:spacing w:after="120"/>
      </w:pPr>
      <w:r>
        <w:rPr>
          <w:rFonts w:ascii="Calibri" w:cs="Calibri" w:eastAsia="Calibri" w:hAnsi="Calibri"/>
          <w:i/>
          <w:iCs/>
          <w:color w:val="6B7280"/>
          <w:sz w:val="22"/>
          <w:szCs w:val="22"/>
        </w:rPr>
        <w:t xml:space="preserve">Full detail is in the customer guide (KOI_Integration_Customer_Guide_v1.4.0). Deeper diagnostics are in the troubleshooting guide.</w:t>
      </w:r>
    </w:p>
    <w:sectPr>
      <w:footerReference w:type="default" r:id="rId7"/>
      <w:pgSz w:w="12240" w:h="15840" w:orient="portrait"/>
      <w:pgMar w:top="1200" w:right="1200" w:bottom="12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6B7280"/>
        <w:sz w:val="16"/>
        <w:szCs w:val="16"/>
      </w:rPr>
      <w:t xml:space="preserve">KOI — Test Guide by Use Case   ·   </w:t>
    </w:r>
    <w:r>
      <w:rPr>
        <w:rFonts w:ascii="Calibri" w:cs="Calibri" w:eastAsia="Calibri" w:hAnsi="Calibri"/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B7280"/>
        <w:sz w:val="16"/>
        <w:szCs w:val="16"/>
      </w:rPr>
      <w:t xml:space="preserve"> / </w:t>
    </w:r>
    <w:r>
      <w:rPr>
        <w:rFonts w:ascii="Calibri" w:cs="Calibri" w:eastAsia="Calibri" w:hAnsi="Calibri"/>
        <w:color w:val="6B72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6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E8551F"/>
      <w:sz w:val="32"/>
      <w:szCs w:val="32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F2937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2026-07-25T15:13:55.890Z</dcterms:created>
  <dcterms:modified xsi:type="dcterms:W3CDTF">2026-07-25T15:13:55.892Z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