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rPr>
          <w:rFonts w:ascii="Aptos Display" w:hAnsi="Aptos Display"/>
          <w:b/>
          <w:sz w:val="60"/>
        </w:rPr>
        <w:t>Multi-Chain Top-20</w:t>
        <w:br/>
        <w:t>Copy Behaviour Bot</w:t>
      </w:r>
    </w:p>
    <w:p>
      <w:pPr>
        <w:jc w:val="center"/>
      </w:pPr>
      <w:r>
        <w:rPr>
          <w:b/>
          <w:sz w:val="30"/>
        </w:rPr>
        <w:t>v1.6 FINAL — Design, Qualification, IN/OUT Recommendations and Operations</w:t>
      </w:r>
    </w:p>
    <w:p>
      <w:pPr>
        <w:jc w:val="center"/>
      </w:pPr>
      <w:r>
        <w:rPr>
          <w:sz w:val="21"/>
        </w:rPr>
        <w:t>BSC + Base enabled by default • Multi-chain EVM research • CSVbot hot reload • Telegram control panel</w:t>
      </w:r>
    </w:p>
    <w:p>
      <w:r>
        <w:br/>
      </w:r>
    </w:p>
    <w:tbl>
      <w:tblPr>
        <w:tblStyle w:val="TableGrid"/>
        <w:tblW w:type="auto" w:w="0"/>
        <w:jc w:val="center"/>
        <w:tblLook w:firstColumn="1" w:firstRow="1" w:lastColumn="0" w:lastRow="0" w:noHBand="0" w:noVBand="1" w:val="04A0"/>
      </w:tblPr>
      <w:tblGrid>
        <w:gridCol w:w="10080"/>
      </w:tblGrid>
      <w:tr>
        <w:tc>
          <w:tcPr>
            <w:tcW w:type="dxa" w:w="10080"/>
            <w:shd w:fill="FFF2CC"/>
          </w:tcPr>
          <w:p>
            <w:pPr>
              <w:jc w:val="center"/>
            </w:pPr>
            <w:r/>
            <w:r>
              <w:rPr>
                <w:b/>
                <w:sz w:val="21"/>
              </w:rPr>
              <w:t>Important: this system cannot guarantee profit. It ranks historical behaviour and issues conservative advisory IN/OUT decisions only after current-market checks. It does not sign or submit trades.</w:t>
            </w:r>
          </w:p>
        </w:tc>
      </w:tr>
    </w:tbl>
    <w:p>
      <w:r>
        <w:br w:type="page"/>
      </w:r>
    </w:p>
    <w:p>
      <w:pPr>
        <w:pStyle w:val="Heading1"/>
      </w:pPr>
      <w:r>
        <w:t>Executive Summary</w:t>
      </w:r>
    </w:p>
    <w:p>
      <w:r>
        <w:t>Version 1.6 adds a controlled bridge between wallet intelligence and a future execution engine. The learner now selects up to 20 wallet/behaviour pairs that pass configured historical checks, then waits for an independent live opportunity feed before issuing a current IN, OUT or SKIP recommendation.</w:t>
      </w:r>
    </w:p>
    <w:p>
      <w:pPr>
        <w:pStyle w:val="ListBullet"/>
        <w:spacing w:after="40"/>
      </w:pPr>
      <w:r>
        <w:t>Top-20 approval means the wallet is suitable for strategy learning and shadow copying; it is not permission to blindly copy its next mined transaction.</w:t>
      </w:r>
    </w:p>
    <w:p>
      <w:pPr>
        <w:pStyle w:val="ListBullet"/>
        <w:spacing w:after="40"/>
      </w:pPr>
      <w:r>
        <w:t>The selection process uses closed-cycle profit evidence, consistency, observation depth, behaviour confidence, automation score, profit speed and loss controls.</w:t>
      </w:r>
    </w:p>
    <w:p>
      <w:pPr>
        <w:pStyle w:val="ListBullet"/>
        <w:spacing w:after="40"/>
      </w:pPr>
      <w:r>
        <w:t>The live recommendation layer requires a fresh exact quote, simulation, liquidity/sellability checks, route approval, whole-route approval, input cap, minimum conservative profit and atomic profit protection.</w:t>
      </w:r>
    </w:p>
    <w:p>
      <w:pPr>
        <w:pStyle w:val="ListBullet"/>
        <w:spacing w:after="40"/>
      </w:pPr>
      <w:r>
        <w:t>Default follower assumptions intentionally target less than the source wallet: 25% of observed/source sizing and only 50% of observed gross edge before the follower's gas, builder fee and slippage reserve.</w:t>
      </w:r>
    </w:p>
    <w:p>
      <w:pPr>
        <w:pStyle w:val="ListBullet"/>
        <w:spacing w:after="40"/>
      </w:pPr>
      <w:r>
        <w:t>The package remains read-only: Telegram and the learner do not hold private keys and do not submit trades.</w:t>
      </w:r>
    </w:p>
    <w:p>
      <w:pPr>
        <w:pStyle w:val="Heading1"/>
      </w:pPr>
      <w:r>
        <w:t>1. What Changed from v1.5</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D9EAF7"/>
            <w:vAlign w:val="center"/>
          </w:tcPr>
          <w:p>
            <w:r/>
            <w:r>
              <w:rPr>
                <w:b/>
                <w:sz w:val="17"/>
              </w:rPr>
              <w:t>Area</w:t>
            </w:r>
          </w:p>
        </w:tc>
        <w:tc>
          <w:tcPr>
            <w:tcW w:type="dxa" w:w="3168"/>
            <w:shd w:fill="D9EAF7"/>
            <w:vAlign w:val="center"/>
          </w:tcPr>
          <w:p>
            <w:r/>
            <w:r>
              <w:rPr>
                <w:b/>
                <w:sz w:val="17"/>
              </w:rPr>
              <w:t>v1.5</w:t>
            </w:r>
          </w:p>
        </w:tc>
        <w:tc>
          <w:tcPr>
            <w:tcW w:type="dxa" w:w="4896"/>
            <w:shd w:fill="D9EAF7"/>
            <w:vAlign w:val="center"/>
          </w:tcPr>
          <w:p>
            <w:r/>
            <w:r>
              <w:rPr>
                <w:b/>
                <w:sz w:val="17"/>
              </w:rPr>
              <w:t>v1.6 FINAL</w:t>
            </w:r>
          </w:p>
        </w:tc>
      </w:tr>
      <w:tr>
        <w:tc>
          <w:tcPr>
            <w:tcW w:type="dxa" w:w="1728"/>
            <w:vAlign w:val="top"/>
          </w:tcPr>
          <w:p>
            <w:r/>
            <w:r>
              <w:rPr>
                <w:b w:val="0"/>
                <w:sz w:val="17"/>
              </w:rPr>
              <w:t>Wallet research</w:t>
            </w:r>
          </w:p>
        </w:tc>
        <w:tc>
          <w:tcPr>
            <w:tcW w:type="dxa" w:w="3168"/>
            <w:vAlign w:val="top"/>
          </w:tcPr>
          <w:p>
            <w:r/>
            <w:r>
              <w:rPr>
                <w:b w:val="0"/>
                <w:sz w:val="17"/>
              </w:rPr>
              <w:t>Ranks profitable behaviours and wallets</w:t>
            </w:r>
          </w:p>
        </w:tc>
        <w:tc>
          <w:tcPr>
            <w:tcW w:type="dxa" w:w="4896"/>
            <w:vAlign w:val="top"/>
          </w:tcPr>
          <w:p>
            <w:r/>
            <w:r>
              <w:rPr>
                <w:b w:val="0"/>
                <w:sz w:val="17"/>
              </w:rPr>
              <w:t>Adds pass/reject copy qualification and a global Top-20</w:t>
            </w:r>
          </w:p>
        </w:tc>
      </w:tr>
      <w:tr>
        <w:tc>
          <w:tcPr>
            <w:tcW w:type="dxa" w:w="1728"/>
            <w:vAlign w:val="top"/>
          </w:tcPr>
          <w:p>
            <w:r/>
            <w:r>
              <w:rPr>
                <w:b w:val="0"/>
                <w:sz w:val="17"/>
              </w:rPr>
              <w:t>Copy decision</w:t>
            </w:r>
          </w:p>
        </w:tc>
        <w:tc>
          <w:tcPr>
            <w:tcW w:type="dxa" w:w="3168"/>
            <w:vAlign w:val="top"/>
          </w:tcPr>
          <w:p>
            <w:r/>
            <w:r>
              <w:rPr>
                <w:b w:val="0"/>
                <w:sz w:val="17"/>
              </w:rPr>
              <w:t>No formal copy universe</w:t>
            </w:r>
          </w:p>
        </w:tc>
        <w:tc>
          <w:tcPr>
            <w:tcW w:type="dxa" w:w="4896"/>
            <w:vAlign w:val="top"/>
          </w:tcPr>
          <w:p>
            <w:r/>
            <w:r>
              <w:rPr>
                <w:b w:val="0"/>
                <w:sz w:val="17"/>
              </w:rPr>
              <w:t>Top-20 approved wallet/behaviour pairs</w:t>
            </w:r>
          </w:p>
        </w:tc>
      </w:tr>
      <w:tr>
        <w:tc>
          <w:tcPr>
            <w:tcW w:type="dxa" w:w="1728"/>
            <w:vAlign w:val="top"/>
          </w:tcPr>
          <w:p>
            <w:r/>
            <w:r>
              <w:rPr>
                <w:b w:val="0"/>
                <w:sz w:val="17"/>
              </w:rPr>
              <w:t>Trade recommendation</w:t>
            </w:r>
          </w:p>
        </w:tc>
        <w:tc>
          <w:tcPr>
            <w:tcW w:type="dxa" w:w="3168"/>
            <w:vAlign w:val="top"/>
          </w:tcPr>
          <w:p>
            <w:r/>
            <w:r>
              <w:rPr>
                <w:b w:val="0"/>
                <w:sz w:val="17"/>
              </w:rPr>
              <w:t>Historical research only</w:t>
            </w:r>
          </w:p>
        </w:tc>
        <w:tc>
          <w:tcPr>
            <w:tcW w:type="dxa" w:w="4896"/>
            <w:vAlign w:val="top"/>
          </w:tcPr>
          <w:p>
            <w:r/>
            <w:r>
              <w:rPr>
                <w:b w:val="0"/>
                <w:sz w:val="17"/>
              </w:rPr>
              <w:t>Advisory IN / OUT / SKIP from a live quote/simulation feed</w:t>
            </w:r>
          </w:p>
        </w:tc>
      </w:tr>
      <w:tr>
        <w:tc>
          <w:tcPr>
            <w:tcW w:type="dxa" w:w="1728"/>
            <w:vAlign w:val="top"/>
          </w:tcPr>
          <w:p>
            <w:r/>
            <w:r>
              <w:rPr>
                <w:b w:val="0"/>
                <w:sz w:val="17"/>
              </w:rPr>
              <w:t>Follower realism</w:t>
            </w:r>
          </w:p>
        </w:tc>
        <w:tc>
          <w:tcPr>
            <w:tcW w:type="dxa" w:w="3168"/>
            <w:vAlign w:val="top"/>
          </w:tcPr>
          <w:p>
            <w:r/>
            <w:r>
              <w:rPr>
                <w:b w:val="0"/>
                <w:sz w:val="17"/>
              </w:rPr>
              <w:t>Historical source result</w:t>
            </w:r>
          </w:p>
        </w:tc>
        <w:tc>
          <w:tcPr>
            <w:tcW w:type="dxa" w:w="4896"/>
            <w:vAlign w:val="top"/>
          </w:tcPr>
          <w:p>
            <w:r/>
            <w:r>
              <w:rPr>
                <w:b w:val="0"/>
                <w:sz w:val="17"/>
              </w:rPr>
              <w:t>25% source-size reference + 50% edge-capture haircut by default</w:t>
            </w:r>
          </w:p>
        </w:tc>
      </w:tr>
      <w:tr>
        <w:tc>
          <w:tcPr>
            <w:tcW w:type="dxa" w:w="1728"/>
            <w:vAlign w:val="top"/>
          </w:tcPr>
          <w:p>
            <w:r/>
            <w:r>
              <w:rPr>
                <w:b w:val="0"/>
                <w:sz w:val="17"/>
              </w:rPr>
              <w:t>Risk gates</w:t>
            </w:r>
          </w:p>
        </w:tc>
        <w:tc>
          <w:tcPr>
            <w:tcW w:type="dxa" w:w="3168"/>
            <w:vAlign w:val="top"/>
          </w:tcPr>
          <w:p>
            <w:r/>
            <w:r>
              <w:rPr>
                <w:b w:val="0"/>
                <w:sz w:val="17"/>
              </w:rPr>
              <w:t>Behaviour/profit evidence</w:t>
            </w:r>
          </w:p>
        </w:tc>
        <w:tc>
          <w:tcPr>
            <w:tcW w:type="dxa" w:w="4896"/>
            <w:vAlign w:val="top"/>
          </w:tcPr>
          <w:p>
            <w:r/>
            <w:r>
              <w:rPr>
                <w:b w:val="0"/>
                <w:sz w:val="17"/>
              </w:rPr>
              <w:t>Freshness, quote, simulation, liquidity, sellability, route approval, input cap, minimum profit, atomic protection</w:t>
            </w:r>
          </w:p>
        </w:tc>
      </w:tr>
      <w:tr>
        <w:tc>
          <w:tcPr>
            <w:tcW w:type="dxa" w:w="1728"/>
            <w:vAlign w:val="top"/>
          </w:tcPr>
          <w:p>
            <w:r/>
            <w:r>
              <w:rPr>
                <w:b w:val="0"/>
                <w:sz w:val="17"/>
              </w:rPr>
              <w:t>Execution</w:t>
            </w:r>
          </w:p>
        </w:tc>
        <w:tc>
          <w:tcPr>
            <w:tcW w:type="dxa" w:w="3168"/>
            <w:vAlign w:val="top"/>
          </w:tcPr>
          <w:p>
            <w:r/>
            <w:r>
              <w:rPr>
                <w:b w:val="0"/>
                <w:sz w:val="17"/>
              </w:rPr>
              <w:t>None</w:t>
            </w:r>
          </w:p>
        </w:tc>
        <w:tc>
          <w:tcPr>
            <w:tcW w:type="dxa" w:w="4896"/>
            <w:vAlign w:val="top"/>
          </w:tcPr>
          <w:p>
            <w:r/>
            <w:r>
              <w:rPr>
                <w:b w:val="0"/>
                <w:sz w:val="17"/>
              </w:rPr>
              <w:t>Still none — recommendation only</w:t>
            </w:r>
          </w:p>
        </w:tc>
      </w:tr>
      <w:tr>
        <w:tc>
          <w:tcPr>
            <w:tcW w:type="dxa" w:w="1728"/>
            <w:vAlign w:val="top"/>
          </w:tcPr>
          <w:p>
            <w:r/>
            <w:r>
              <w:rPr>
                <w:b w:val="0"/>
                <w:sz w:val="17"/>
              </w:rPr>
              <w:t>Telegram</w:t>
            </w:r>
          </w:p>
        </w:tc>
        <w:tc>
          <w:tcPr>
            <w:tcW w:type="dxa" w:w="3168"/>
            <w:vAlign w:val="top"/>
          </w:tcPr>
          <w:p>
            <w:r/>
            <w:r>
              <w:rPr>
                <w:b w:val="0"/>
                <w:sz w:val="17"/>
              </w:rPr>
              <w:t>Wallets, profit, behaviours, strategies</w:t>
            </w:r>
          </w:p>
        </w:tc>
        <w:tc>
          <w:tcPr>
            <w:tcW w:type="dxa" w:w="4896"/>
            <w:vAlign w:val="top"/>
          </w:tcPr>
          <w:p>
            <w:r/>
            <w:r>
              <w:rPr>
                <w:b w:val="0"/>
                <w:sz w:val="17"/>
              </w:rPr>
              <w:t>Adds Copy Top 20 and IN / OUT pages</w:t>
            </w:r>
          </w:p>
        </w:tc>
      </w:tr>
    </w:tbl>
    <w:p/>
    <w:p>
      <w:pPr>
        <w:pStyle w:val="Heading1"/>
      </w:pPr>
      <w:r>
        <w:t>2. Core Principle: Copy the Behaviour, Not the Mined Transaction</w:t>
      </w:r>
    </w:p>
    <w:p>
      <w:r>
        <w:t>A profitable wallet is primarily a source of method intelligence: route family, pool combination, DEX choice, function selector, sizing, timing, builder/private-routing behaviour and minimum edge. For fast arbitrage, an opportunity seen only after inclusion is normally stale. The system therefore does not treat a newly mined profitable transaction as an automatic trade signal.</w:t>
      </w:r>
    </w:p>
    <w:tbl>
      <w:tblPr>
        <w:tblStyle w:val="TableGrid"/>
        <w:tblW w:type="auto" w:w="0"/>
        <w:jc w:val="center"/>
        <w:tblLook w:firstColumn="1" w:firstRow="1" w:lastColumn="0" w:lastRow="0" w:noHBand="0" w:noVBand="1" w:val="04A0"/>
      </w:tblPr>
      <w:tblGrid>
        <w:gridCol w:w="10080"/>
      </w:tblGrid>
      <w:tr>
        <w:tc>
          <w:tcPr>
            <w:tcW w:type="dxa" w:w="10080"/>
            <w:shd w:fill="F3F5F7"/>
          </w:tcPr>
          <w:p>
            <w:pPr>
              <w:spacing w:after="0"/>
            </w:pPr>
            <w:r/>
            <w:r>
              <w:rPr>
                <w:rFonts w:ascii="Consolas" w:hAnsi="Consolas"/>
                <w:sz w:val="16"/>
              </w:rPr>
              <w:t>SOURCE WALLET HISTORY</w:t>
            </w:r>
            <w:r>
              <w:br/>
            </w:r>
            <w:r>
              <w:rPr>
                <w:rFonts w:ascii="Consolas" w:hAnsi="Consolas"/>
                <w:sz w:val="16"/>
              </w:rPr>
              <w:t xml:space="preserve">        ↓</w:t>
            </w:r>
            <w:r>
              <w:br/>
            </w:r>
            <w:r>
              <w:rPr>
                <w:rFonts w:ascii="Consolas" w:hAnsi="Consolas"/>
                <w:sz w:val="16"/>
              </w:rPr>
              <w:t>Behaviour / route template</w:t>
            </w:r>
            <w:r>
              <w:br/>
            </w:r>
            <w:r>
              <w:rPr>
                <w:rFonts w:ascii="Consolas" w:hAnsi="Consolas"/>
                <w:sz w:val="16"/>
              </w:rPr>
              <w:t xml:space="preserve">        ↓</w:t>
            </w:r>
            <w:r>
              <w:br/>
            </w:r>
            <w:r>
              <w:rPr>
                <w:rFonts w:ascii="Consolas" w:hAnsi="Consolas"/>
                <w:sz w:val="16"/>
              </w:rPr>
              <w:t>Top-20 qualification</w:t>
            </w:r>
            <w:r>
              <w:br/>
            </w:r>
            <w:r>
              <w:rPr>
                <w:rFonts w:ascii="Consolas" w:hAnsi="Consolas"/>
                <w:sz w:val="16"/>
              </w:rPr>
              <w:t xml:space="preserve">        ↓</w:t>
            </w:r>
            <w:r>
              <w:br/>
            </w:r>
            <w:r>
              <w:rPr>
                <w:rFonts w:ascii="Consolas" w:hAnsi="Consolas"/>
                <w:sz w:val="16"/>
              </w:rPr>
              <w:t>Independent live market scan</w:t>
            </w:r>
            <w:r>
              <w:br/>
            </w:r>
            <w:r>
              <w:rPr>
                <w:rFonts w:ascii="Consolas" w:hAnsi="Consolas"/>
                <w:sz w:val="16"/>
              </w:rPr>
              <w:t xml:space="preserve">        ↓</w:t>
            </w:r>
            <w:r>
              <w:br/>
            </w:r>
            <w:r>
              <w:rPr>
                <w:rFonts w:ascii="Consolas" w:hAnsi="Consolas"/>
                <w:sz w:val="16"/>
              </w:rPr>
              <w:t>Exact current quote + simulation</w:t>
            </w:r>
            <w:r>
              <w:br/>
            </w:r>
            <w:r>
              <w:rPr>
                <w:rFonts w:ascii="Consolas" w:hAnsi="Consolas"/>
                <w:sz w:val="16"/>
              </w:rPr>
              <w:t xml:space="preserve">        ↓</w:t>
            </w:r>
            <w:r>
              <w:br/>
            </w:r>
            <w:r>
              <w:rPr>
                <w:rFonts w:ascii="Consolas" w:hAnsi="Consolas"/>
                <w:sz w:val="16"/>
              </w:rPr>
              <w:t>Conservative follower haircut</w:t>
            </w:r>
            <w:r>
              <w:br/>
            </w:r>
            <w:r>
              <w:rPr>
                <w:rFonts w:ascii="Consolas" w:hAnsi="Consolas"/>
                <w:sz w:val="16"/>
              </w:rPr>
              <w:t xml:space="preserve">        ↓</w:t>
            </w:r>
            <w:r>
              <w:br/>
            </w:r>
            <w:r>
              <w:rPr>
                <w:rFonts w:ascii="Consolas" w:hAnsi="Consolas"/>
                <w:sz w:val="16"/>
              </w:rPr>
              <w:t>IN / OUT recommendation</w:t>
            </w:r>
          </w:p>
        </w:tc>
      </w:tr>
    </w:tbl>
    <w:p/>
    <w:p>
      <w:pPr>
        <w:pStyle w:val="Heading1"/>
      </w:pPr>
      <w:r>
        <w:t>3. Top-20 Wallet Qualification</w:t>
      </w:r>
    </w:p>
    <w:p>
      <w:r>
        <w:t>Each enabled chain evaluates wallet + behaviour pairs independently. A wallet may be strong on BSC and weak on Base; these records are never merged. The global Top-20 then ranks the best passing pairs using a threshold-normalised copy score so native BNB and ETH amounts are not directly compared as if they were the same unit.</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D9EAF7"/>
            <w:vAlign w:val="center"/>
          </w:tcPr>
          <w:p>
            <w:r/>
            <w:r>
              <w:rPr>
                <w:b/>
                <w:sz w:val="17"/>
              </w:rPr>
              <w:t>Check</w:t>
            </w:r>
          </w:p>
        </w:tc>
        <w:tc>
          <w:tcPr>
            <w:tcW w:type="dxa" w:w="1800"/>
            <w:shd w:fill="D9EAF7"/>
            <w:vAlign w:val="center"/>
          </w:tcPr>
          <w:p>
            <w:r/>
            <w:r>
              <w:rPr>
                <w:b/>
                <w:sz w:val="17"/>
              </w:rPr>
              <w:t>Default</w:t>
            </w:r>
          </w:p>
        </w:tc>
        <w:tc>
          <w:tcPr>
            <w:tcW w:type="dxa" w:w="4752"/>
            <w:shd w:fill="D9EAF7"/>
            <w:vAlign w:val="center"/>
          </w:tcPr>
          <w:p>
            <w:r/>
            <w:r>
              <w:rPr>
                <w:b/>
                <w:sz w:val="17"/>
              </w:rPr>
              <w:t>Why it exists</w:t>
            </w:r>
          </w:p>
        </w:tc>
      </w:tr>
      <w:tr>
        <w:tc>
          <w:tcPr>
            <w:tcW w:type="dxa" w:w="2880"/>
            <w:vAlign w:val="top"/>
          </w:tcPr>
          <w:p>
            <w:r/>
            <w:r>
              <w:rPr>
                <w:b w:val="0"/>
                <w:sz w:val="17"/>
              </w:rPr>
              <w:t>Allowed behaviour</w:t>
            </w:r>
          </w:p>
        </w:tc>
        <w:tc>
          <w:tcPr>
            <w:tcW w:type="dxa" w:w="1800"/>
            <w:vAlign w:val="top"/>
          </w:tcPr>
          <w:p>
            <w:r/>
            <w:r>
              <w:rPr>
                <w:b w:val="0"/>
                <w:sz w:val="17"/>
              </w:rPr>
              <w:t>Arbitrage families only</w:t>
            </w:r>
          </w:p>
        </w:tc>
        <w:tc>
          <w:tcPr>
            <w:tcW w:type="dxa" w:w="4752"/>
            <w:vAlign w:val="top"/>
          </w:tcPr>
          <w:p>
            <w:r/>
            <w:r>
              <w:rPr>
                <w:b w:val="0"/>
                <w:sz w:val="17"/>
              </w:rPr>
              <w:t>Avoids copying treasury transfers or unproved automation</w:t>
            </w:r>
          </w:p>
        </w:tc>
      </w:tr>
      <w:tr>
        <w:tc>
          <w:tcPr>
            <w:tcW w:type="dxa" w:w="2880"/>
            <w:vAlign w:val="top"/>
          </w:tcPr>
          <w:p>
            <w:r/>
            <w:r>
              <w:rPr>
                <w:b w:val="0"/>
                <w:sz w:val="17"/>
              </w:rPr>
              <w:t>Minimum bot score</w:t>
            </w:r>
          </w:p>
        </w:tc>
        <w:tc>
          <w:tcPr>
            <w:tcW w:type="dxa" w:w="1800"/>
            <w:vAlign w:val="top"/>
          </w:tcPr>
          <w:p>
            <w:r/>
            <w:r>
              <w:rPr>
                <w:b w:val="0"/>
                <w:sz w:val="17"/>
              </w:rPr>
              <w:t>60 / 100</w:t>
            </w:r>
          </w:p>
        </w:tc>
        <w:tc>
          <w:tcPr>
            <w:tcW w:type="dxa" w:w="4752"/>
            <w:vAlign w:val="top"/>
          </w:tcPr>
          <w:p>
            <w:r/>
            <w:r>
              <w:rPr>
                <w:b w:val="0"/>
                <w:sz w:val="17"/>
              </w:rPr>
              <w:t>Favours repeatable automated behaviour</w:t>
            </w:r>
          </w:p>
        </w:tc>
      </w:tr>
      <w:tr>
        <w:tc>
          <w:tcPr>
            <w:tcW w:type="dxa" w:w="2880"/>
            <w:vAlign w:val="top"/>
          </w:tcPr>
          <w:p>
            <w:r/>
            <w:r>
              <w:rPr>
                <w:b w:val="0"/>
                <w:sz w:val="17"/>
              </w:rPr>
              <w:t>Behaviour confidence</w:t>
            </w:r>
          </w:p>
        </w:tc>
        <w:tc>
          <w:tcPr>
            <w:tcW w:type="dxa" w:w="1800"/>
            <w:vAlign w:val="top"/>
          </w:tcPr>
          <w:p>
            <w:r/>
            <w:r>
              <w:rPr>
                <w:b w:val="0"/>
                <w:sz w:val="17"/>
              </w:rPr>
              <w:t>75 / 100</w:t>
            </w:r>
          </w:p>
        </w:tc>
        <w:tc>
          <w:tcPr>
            <w:tcW w:type="dxa" w:w="4752"/>
            <w:vAlign w:val="top"/>
          </w:tcPr>
          <w:p>
            <w:r/>
            <w:r>
              <w:rPr>
                <w:b w:val="0"/>
                <w:sz w:val="17"/>
              </w:rPr>
              <w:t>Requires a reasonably supported classification</w:t>
            </w:r>
          </w:p>
        </w:tc>
      </w:tr>
      <w:tr>
        <w:tc>
          <w:tcPr>
            <w:tcW w:type="dxa" w:w="2880"/>
            <w:vAlign w:val="top"/>
          </w:tcPr>
          <w:p>
            <w:r/>
            <w:r>
              <w:rPr>
                <w:b w:val="0"/>
                <w:sz w:val="17"/>
              </w:rPr>
              <w:t>Proven closed cycles</w:t>
            </w:r>
          </w:p>
        </w:tc>
        <w:tc>
          <w:tcPr>
            <w:tcW w:type="dxa" w:w="1800"/>
            <w:vAlign w:val="top"/>
          </w:tcPr>
          <w:p>
            <w:r/>
            <w:r>
              <w:rPr>
                <w:b w:val="0"/>
                <w:sz w:val="17"/>
              </w:rPr>
              <w:t>20</w:t>
            </w:r>
          </w:p>
        </w:tc>
        <w:tc>
          <w:tcPr>
            <w:tcW w:type="dxa" w:w="4752"/>
            <w:vAlign w:val="top"/>
          </w:tcPr>
          <w:p>
            <w:r/>
            <w:r>
              <w:rPr>
                <w:b w:val="0"/>
                <w:sz w:val="17"/>
              </w:rPr>
              <w:t>Reduces reliance on one-off wins</w:t>
            </w:r>
          </w:p>
        </w:tc>
      </w:tr>
      <w:tr>
        <w:tc>
          <w:tcPr>
            <w:tcW w:type="dxa" w:w="2880"/>
            <w:vAlign w:val="top"/>
          </w:tcPr>
          <w:p>
            <w:r/>
            <w:r>
              <w:rPr>
                <w:b w:val="0"/>
                <w:sz w:val="17"/>
              </w:rPr>
              <w:t>Positive ratio</w:t>
            </w:r>
          </w:p>
        </w:tc>
        <w:tc>
          <w:tcPr>
            <w:tcW w:type="dxa" w:w="1800"/>
            <w:vAlign w:val="top"/>
          </w:tcPr>
          <w:p>
            <w:r/>
            <w:r>
              <w:rPr>
                <w:b w:val="0"/>
                <w:sz w:val="17"/>
              </w:rPr>
              <w:t>≥ 70%</w:t>
            </w:r>
          </w:p>
        </w:tc>
        <w:tc>
          <w:tcPr>
            <w:tcW w:type="dxa" w:w="4752"/>
            <w:vAlign w:val="top"/>
          </w:tcPr>
          <w:p>
            <w:r/>
            <w:r>
              <w:rPr>
                <w:b w:val="0"/>
                <w:sz w:val="17"/>
              </w:rPr>
              <w:t>Requires consistency among classified closed cycles</w:t>
            </w:r>
          </w:p>
        </w:tc>
      </w:tr>
      <w:tr>
        <w:tc>
          <w:tcPr>
            <w:tcW w:type="dxa" w:w="2880"/>
            <w:vAlign w:val="top"/>
          </w:tcPr>
          <w:p>
            <w:r/>
            <w:r>
              <w:rPr>
                <w:b w:val="0"/>
                <w:sz w:val="17"/>
              </w:rPr>
              <w:t>Historical net profit</w:t>
            </w:r>
          </w:p>
        </w:tc>
        <w:tc>
          <w:tcPr>
            <w:tcW w:type="dxa" w:w="1800"/>
            <w:vAlign w:val="top"/>
          </w:tcPr>
          <w:p>
            <w:r/>
            <w:r>
              <w:rPr>
                <w:b w:val="0"/>
                <w:sz w:val="17"/>
              </w:rPr>
              <w:t>≥ 0.01 base</w:t>
            </w:r>
          </w:p>
        </w:tc>
        <w:tc>
          <w:tcPr>
            <w:tcW w:type="dxa" w:w="4752"/>
            <w:vAlign w:val="top"/>
          </w:tcPr>
          <w:p>
            <w:r/>
            <w:r>
              <w:rPr>
                <w:b w:val="0"/>
                <w:sz w:val="17"/>
              </w:rPr>
              <w:t>Requires positive evidence after recognised costs</w:t>
            </w:r>
          </w:p>
        </w:tc>
      </w:tr>
      <w:tr>
        <w:tc>
          <w:tcPr>
            <w:tcW w:type="dxa" w:w="2880"/>
            <w:vAlign w:val="top"/>
          </w:tcPr>
          <w:p>
            <w:r/>
            <w:r>
              <w:rPr>
                <w:b w:val="0"/>
                <w:sz w:val="17"/>
              </w:rPr>
              <w:t>Profit speed</w:t>
            </w:r>
          </w:p>
        </w:tc>
        <w:tc>
          <w:tcPr>
            <w:tcW w:type="dxa" w:w="1800"/>
            <w:vAlign w:val="top"/>
          </w:tcPr>
          <w:p>
            <w:r/>
            <w:r>
              <w:rPr>
                <w:b w:val="0"/>
                <w:sz w:val="17"/>
              </w:rPr>
              <w:t>≥ 0.001 base/hour</w:t>
            </w:r>
          </w:p>
        </w:tc>
        <w:tc>
          <w:tcPr>
            <w:tcW w:type="dxa" w:w="4752"/>
            <w:vAlign w:val="top"/>
          </w:tcPr>
          <w:p>
            <w:r/>
            <w:r>
              <w:rPr>
                <w:b w:val="0"/>
                <w:sz w:val="17"/>
              </w:rPr>
              <w:t>Rejects very slow or trivial patterns</w:t>
            </w:r>
          </w:p>
        </w:tc>
      </w:tr>
      <w:tr>
        <w:tc>
          <w:tcPr>
            <w:tcW w:type="dxa" w:w="2880"/>
            <w:vAlign w:val="top"/>
          </w:tcPr>
          <w:p>
            <w:r/>
            <w:r>
              <w:rPr>
                <w:b w:val="0"/>
                <w:sz w:val="17"/>
              </w:rPr>
              <w:t>Observation window</w:t>
            </w:r>
          </w:p>
        </w:tc>
        <w:tc>
          <w:tcPr>
            <w:tcW w:type="dxa" w:w="1800"/>
            <w:vAlign w:val="top"/>
          </w:tcPr>
          <w:p>
            <w:r/>
            <w:r>
              <w:rPr>
                <w:b w:val="0"/>
                <w:sz w:val="17"/>
              </w:rPr>
              <w:t>≥ 1 hour</w:t>
            </w:r>
          </w:p>
        </w:tc>
        <w:tc>
          <w:tcPr>
            <w:tcW w:type="dxa" w:w="4752"/>
            <w:vAlign w:val="top"/>
          </w:tcPr>
          <w:p>
            <w:r/>
            <w:r>
              <w:rPr>
                <w:b w:val="0"/>
                <w:sz w:val="17"/>
              </w:rPr>
              <w:t>Reduces one-trade ranking distortions</w:t>
            </w:r>
          </w:p>
        </w:tc>
      </w:tr>
      <w:tr>
        <w:tc>
          <w:tcPr>
            <w:tcW w:type="dxa" w:w="2880"/>
            <w:vAlign w:val="top"/>
          </w:tcPr>
          <w:p>
            <w:r/>
            <w:r>
              <w:rPr>
                <w:b w:val="0"/>
                <w:sz w:val="17"/>
              </w:rPr>
              <w:t>Negative ratio</w:t>
            </w:r>
          </w:p>
        </w:tc>
        <w:tc>
          <w:tcPr>
            <w:tcW w:type="dxa" w:w="1800"/>
            <w:vAlign w:val="top"/>
          </w:tcPr>
          <w:p>
            <w:r/>
            <w:r>
              <w:rPr>
                <w:b w:val="0"/>
                <w:sz w:val="17"/>
              </w:rPr>
              <w:t>≤ 30%</w:t>
            </w:r>
          </w:p>
        </w:tc>
        <w:tc>
          <w:tcPr>
            <w:tcW w:type="dxa" w:w="4752"/>
            <w:vAlign w:val="top"/>
          </w:tcPr>
          <w:p>
            <w:r/>
            <w:r>
              <w:rPr>
                <w:b w:val="0"/>
                <w:sz w:val="17"/>
              </w:rPr>
              <w:t>Limits unstable strategies</w:t>
            </w:r>
          </w:p>
        </w:tc>
      </w:tr>
      <w:tr>
        <w:tc>
          <w:tcPr>
            <w:tcW w:type="dxa" w:w="2880"/>
            <w:vAlign w:val="top"/>
          </w:tcPr>
          <w:p>
            <w:r/>
            <w:r>
              <w:rPr>
                <w:b w:val="0"/>
                <w:sz w:val="17"/>
              </w:rPr>
              <w:t>Largest loss vs total profit</w:t>
            </w:r>
          </w:p>
        </w:tc>
        <w:tc>
          <w:tcPr>
            <w:tcW w:type="dxa" w:w="1800"/>
            <w:vAlign w:val="top"/>
          </w:tcPr>
          <w:p>
            <w:r/>
            <w:r>
              <w:rPr>
                <w:b w:val="0"/>
                <w:sz w:val="17"/>
              </w:rPr>
              <w:t>≤ 50%</w:t>
            </w:r>
          </w:p>
        </w:tc>
        <w:tc>
          <w:tcPr>
            <w:tcW w:type="dxa" w:w="4752"/>
            <w:vAlign w:val="top"/>
          </w:tcPr>
          <w:p>
            <w:r/>
            <w:r>
              <w:rPr>
                <w:b w:val="0"/>
                <w:sz w:val="17"/>
              </w:rPr>
              <w:t>Rejects candidates dominated by one severe loss</w:t>
            </w:r>
          </w:p>
        </w:tc>
      </w:tr>
      <w:tr>
        <w:tc>
          <w:tcPr>
            <w:tcW w:type="dxa" w:w="2880"/>
            <w:vAlign w:val="top"/>
          </w:tcPr>
          <w:p>
            <w:r/>
            <w:r>
              <w:rPr>
                <w:b w:val="0"/>
                <w:sz w:val="17"/>
              </w:rPr>
              <w:t>Composite copy score</w:t>
            </w:r>
          </w:p>
        </w:tc>
        <w:tc>
          <w:tcPr>
            <w:tcW w:type="dxa" w:w="1800"/>
            <w:vAlign w:val="top"/>
          </w:tcPr>
          <w:p>
            <w:r/>
            <w:r>
              <w:rPr>
                <w:b w:val="0"/>
                <w:sz w:val="17"/>
              </w:rPr>
              <w:t>≥ 65 / 100</w:t>
            </w:r>
          </w:p>
        </w:tc>
        <w:tc>
          <w:tcPr>
            <w:tcW w:type="dxa" w:w="4752"/>
            <w:vAlign w:val="top"/>
          </w:tcPr>
          <w:p>
            <w:r/>
            <w:r>
              <w:rPr>
                <w:b w:val="0"/>
                <w:sz w:val="17"/>
              </w:rPr>
              <w:t>Final multi-factor gate</w:t>
            </w:r>
          </w:p>
        </w:tc>
      </w:tr>
    </w:tbl>
    <w:p/>
    <w:p>
      <w:pPr>
        <w:pStyle w:val="Heading1"/>
      </w:pPr>
      <w:r>
        <w:t>4. Copy Score</w:t>
      </w:r>
    </w:p>
    <w:p>
      <w:r>
        <w:t>The default composite score is intentionally multi-factor:</w:t>
      </w:r>
    </w:p>
    <w:tbl>
      <w:tblPr>
        <w:tblStyle w:val="TableGrid"/>
        <w:tblW w:type="auto" w:w="0"/>
        <w:jc w:val="center"/>
        <w:tblLook w:firstColumn="1" w:firstRow="1" w:lastColumn="0" w:lastRow="0" w:noHBand="0" w:noVBand="1" w:val="04A0"/>
      </w:tblPr>
      <w:tblGrid>
        <w:gridCol w:w="3360"/>
        <w:gridCol w:w="3360"/>
        <w:gridCol w:w="3360"/>
      </w:tblGrid>
      <w:tr>
        <w:tc>
          <w:tcPr>
            <w:tcW w:type="dxa" w:w="3456"/>
            <w:shd w:fill="D9EAF7"/>
            <w:vAlign w:val="center"/>
          </w:tcPr>
          <w:p>
            <w:r/>
            <w:r>
              <w:rPr>
                <w:b/>
                <w:sz w:val="17"/>
              </w:rPr>
              <w:t>Component</w:t>
            </w:r>
          </w:p>
        </w:tc>
        <w:tc>
          <w:tcPr>
            <w:tcW w:type="dxa" w:w="1440"/>
            <w:shd w:fill="D9EAF7"/>
            <w:vAlign w:val="center"/>
          </w:tcPr>
          <w:p>
            <w:r/>
            <w:r>
              <w:rPr>
                <w:b/>
                <w:sz w:val="17"/>
              </w:rPr>
              <w:t>Weight</w:t>
            </w:r>
          </w:p>
        </w:tc>
        <w:tc>
          <w:tcPr>
            <w:tcW w:type="dxa" w:w="4608"/>
            <w:shd w:fill="D9EAF7"/>
            <w:vAlign w:val="center"/>
          </w:tcPr>
          <w:p>
            <w:r/>
            <w:r>
              <w:rPr>
                <w:b/>
                <w:sz w:val="17"/>
              </w:rPr>
              <w:t>Interpretation</w:t>
            </w:r>
          </w:p>
        </w:tc>
      </w:tr>
      <w:tr>
        <w:tc>
          <w:tcPr>
            <w:tcW w:type="dxa" w:w="3456"/>
            <w:vAlign w:val="top"/>
          </w:tcPr>
          <w:p>
            <w:r/>
            <w:r>
              <w:rPr>
                <w:b w:val="0"/>
                <w:sz w:val="17"/>
              </w:rPr>
              <w:t>Historical net profit</w:t>
            </w:r>
          </w:p>
        </w:tc>
        <w:tc>
          <w:tcPr>
            <w:tcW w:type="dxa" w:w="1440"/>
            <w:vAlign w:val="top"/>
          </w:tcPr>
          <w:p>
            <w:r/>
            <w:r>
              <w:rPr>
                <w:b w:val="0"/>
                <w:sz w:val="17"/>
              </w:rPr>
              <w:t>25%</w:t>
            </w:r>
          </w:p>
        </w:tc>
        <w:tc>
          <w:tcPr>
            <w:tcW w:type="dxa" w:w="4608"/>
            <w:vAlign w:val="top"/>
          </w:tcPr>
          <w:p>
            <w:r/>
            <w:r>
              <w:rPr>
                <w:b w:val="0"/>
                <w:sz w:val="17"/>
              </w:rPr>
              <w:t>How much closed-cycle profit evidence was accumulated relative to the configured target</w:t>
            </w:r>
          </w:p>
        </w:tc>
      </w:tr>
      <w:tr>
        <w:tc>
          <w:tcPr>
            <w:tcW w:type="dxa" w:w="3456"/>
            <w:vAlign w:val="top"/>
          </w:tcPr>
          <w:p>
            <w:r/>
            <w:r>
              <w:rPr>
                <w:b w:val="0"/>
                <w:sz w:val="17"/>
              </w:rPr>
              <w:t>Profit speed</w:t>
            </w:r>
          </w:p>
        </w:tc>
        <w:tc>
          <w:tcPr>
            <w:tcW w:type="dxa" w:w="1440"/>
            <w:vAlign w:val="top"/>
          </w:tcPr>
          <w:p>
            <w:r/>
            <w:r>
              <w:rPr>
                <w:b w:val="0"/>
                <w:sz w:val="17"/>
              </w:rPr>
              <w:t>20%</w:t>
            </w:r>
          </w:p>
        </w:tc>
        <w:tc>
          <w:tcPr>
            <w:tcW w:type="dxa" w:w="4608"/>
            <w:vAlign w:val="top"/>
          </w:tcPr>
          <w:p>
            <w:r/>
            <w:r>
              <w:rPr>
                <w:b w:val="0"/>
                <w:sz w:val="17"/>
              </w:rPr>
              <w:t>Historical net result per active hour relative to the configured target</w:t>
            </w:r>
          </w:p>
        </w:tc>
      </w:tr>
      <w:tr>
        <w:tc>
          <w:tcPr>
            <w:tcW w:type="dxa" w:w="3456"/>
            <w:vAlign w:val="top"/>
          </w:tcPr>
          <w:p>
            <w:r/>
            <w:r>
              <w:rPr>
                <w:b w:val="0"/>
                <w:sz w:val="17"/>
              </w:rPr>
              <w:t>Consistency</w:t>
            </w:r>
          </w:p>
        </w:tc>
        <w:tc>
          <w:tcPr>
            <w:tcW w:type="dxa" w:w="1440"/>
            <w:vAlign w:val="top"/>
          </w:tcPr>
          <w:p>
            <w:r/>
            <w:r>
              <w:rPr>
                <w:b w:val="0"/>
                <w:sz w:val="17"/>
              </w:rPr>
              <w:t>20%</w:t>
            </w:r>
          </w:p>
        </w:tc>
        <w:tc>
          <w:tcPr>
            <w:tcW w:type="dxa" w:w="4608"/>
            <w:vAlign w:val="top"/>
          </w:tcPr>
          <w:p>
            <w:r/>
            <w:r>
              <w:rPr>
                <w:b w:val="0"/>
                <w:sz w:val="17"/>
              </w:rPr>
              <w:t>Positive closed-cycle ratio</w:t>
            </w:r>
          </w:p>
        </w:tc>
      </w:tr>
      <w:tr>
        <w:tc>
          <w:tcPr>
            <w:tcW w:type="dxa" w:w="3456"/>
            <w:vAlign w:val="top"/>
          </w:tcPr>
          <w:p>
            <w:r/>
            <w:r>
              <w:rPr>
                <w:b w:val="0"/>
                <w:sz w:val="17"/>
              </w:rPr>
              <w:t>Evidence depth</w:t>
            </w:r>
          </w:p>
        </w:tc>
        <w:tc>
          <w:tcPr>
            <w:tcW w:type="dxa" w:w="1440"/>
            <w:vAlign w:val="top"/>
          </w:tcPr>
          <w:p>
            <w:r/>
            <w:r>
              <w:rPr>
                <w:b w:val="0"/>
                <w:sz w:val="17"/>
              </w:rPr>
              <w:t>15%</w:t>
            </w:r>
          </w:p>
        </w:tc>
        <w:tc>
          <w:tcPr>
            <w:tcW w:type="dxa" w:w="4608"/>
            <w:vAlign w:val="top"/>
          </w:tcPr>
          <w:p>
            <w:r/>
            <w:r>
              <w:rPr>
                <w:b w:val="0"/>
                <w:sz w:val="17"/>
              </w:rPr>
              <w:t>Number of proven closed-cycle observations</w:t>
            </w:r>
          </w:p>
        </w:tc>
      </w:tr>
      <w:tr>
        <w:tc>
          <w:tcPr>
            <w:tcW w:type="dxa" w:w="3456"/>
            <w:vAlign w:val="top"/>
          </w:tcPr>
          <w:p>
            <w:r/>
            <w:r>
              <w:rPr>
                <w:b w:val="0"/>
                <w:sz w:val="17"/>
              </w:rPr>
              <w:t>Behaviour confidence</w:t>
            </w:r>
          </w:p>
        </w:tc>
        <w:tc>
          <w:tcPr>
            <w:tcW w:type="dxa" w:w="1440"/>
            <w:vAlign w:val="top"/>
          </w:tcPr>
          <w:p>
            <w:r/>
            <w:r>
              <w:rPr>
                <w:b w:val="0"/>
                <w:sz w:val="17"/>
              </w:rPr>
              <w:t>10%</w:t>
            </w:r>
          </w:p>
        </w:tc>
        <w:tc>
          <w:tcPr>
            <w:tcW w:type="dxa" w:w="4608"/>
            <w:vAlign w:val="top"/>
          </w:tcPr>
          <w:p>
            <w:r/>
            <w:r>
              <w:rPr>
                <w:b w:val="0"/>
                <w:sz w:val="17"/>
              </w:rPr>
              <w:t>Strength of classification evidence</w:t>
            </w:r>
          </w:p>
        </w:tc>
      </w:tr>
      <w:tr>
        <w:tc>
          <w:tcPr>
            <w:tcW w:type="dxa" w:w="3456"/>
            <w:vAlign w:val="top"/>
          </w:tcPr>
          <w:p>
            <w:r/>
            <w:r>
              <w:rPr>
                <w:b w:val="0"/>
                <w:sz w:val="17"/>
              </w:rPr>
              <w:t>Automation score</w:t>
            </w:r>
          </w:p>
        </w:tc>
        <w:tc>
          <w:tcPr>
            <w:tcW w:type="dxa" w:w="1440"/>
            <w:vAlign w:val="top"/>
          </w:tcPr>
          <w:p>
            <w:r/>
            <w:r>
              <w:rPr>
                <w:b w:val="0"/>
                <w:sz w:val="17"/>
              </w:rPr>
              <w:t>10%</w:t>
            </w:r>
          </w:p>
        </w:tc>
        <w:tc>
          <w:tcPr>
            <w:tcW w:type="dxa" w:w="4608"/>
            <w:vAlign w:val="top"/>
          </w:tcPr>
          <w:p>
            <w:r/>
            <w:r>
              <w:rPr>
                <w:b w:val="0"/>
                <w:sz w:val="17"/>
              </w:rPr>
              <w:t>Repeatability / bot-like behaviour</w:t>
            </w:r>
          </w:p>
        </w:tc>
      </w:tr>
    </w:tbl>
    <w:p/>
    <w:p>
      <w:r>
        <w:t>The score is a research prioritisation metric, not an expected return or a probability of future success.</w:t>
      </w:r>
    </w:p>
    <w:p>
      <w:pPr>
        <w:pStyle w:val="Heading1"/>
      </w:pPr>
      <w:r>
        <w:t>5. Default Top-20 Status Meaning</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D9EAF7"/>
            <w:vAlign w:val="center"/>
          </w:tcPr>
          <w:p>
            <w:r/>
            <w:r>
              <w:rPr>
                <w:b/>
                <w:sz w:val="17"/>
              </w:rPr>
              <w:t>Status</w:t>
            </w:r>
          </w:p>
        </w:tc>
        <w:tc>
          <w:tcPr>
            <w:tcW w:type="dxa" w:w="4320"/>
            <w:shd w:fill="D9EAF7"/>
            <w:vAlign w:val="center"/>
          </w:tcPr>
          <w:p>
            <w:r/>
            <w:r>
              <w:rPr>
                <w:b/>
                <w:sz w:val="17"/>
              </w:rPr>
              <w:t>Meaning</w:t>
            </w:r>
          </w:p>
        </w:tc>
        <w:tc>
          <w:tcPr>
            <w:tcW w:type="dxa" w:w="3168"/>
            <w:shd w:fill="D9EAF7"/>
            <w:vAlign w:val="center"/>
          </w:tcPr>
          <w:p>
            <w:r/>
            <w:r>
              <w:rPr>
                <w:b/>
                <w:sz w:val="17"/>
              </w:rPr>
              <w:t>Action</w:t>
            </w:r>
          </w:p>
        </w:tc>
      </w:tr>
      <w:tr>
        <w:tc>
          <w:tcPr>
            <w:tcW w:type="dxa" w:w="2448"/>
            <w:vAlign w:val="top"/>
          </w:tcPr>
          <w:p>
            <w:r/>
            <w:r>
              <w:rPr>
                <w:b w:val="0"/>
                <w:sz w:val="17"/>
              </w:rPr>
              <w:t>PASS / Copy IN for shadow</w:t>
            </w:r>
          </w:p>
        </w:tc>
        <w:tc>
          <w:tcPr>
            <w:tcW w:type="dxa" w:w="4320"/>
            <w:vAlign w:val="top"/>
          </w:tcPr>
          <w:p>
            <w:r/>
            <w:r>
              <w:rPr>
                <w:b w:val="0"/>
                <w:sz w:val="17"/>
              </w:rPr>
              <w:t>Historical gates passed</w:t>
            </w:r>
          </w:p>
        </w:tc>
        <w:tc>
          <w:tcPr>
            <w:tcW w:type="dxa" w:w="3168"/>
            <w:vAlign w:val="top"/>
          </w:tcPr>
          <w:p>
            <w:r/>
            <w:r>
              <w:rPr>
                <w:b w:val="0"/>
                <w:sz w:val="17"/>
              </w:rPr>
              <w:t>Allow behaviour learning and live opportunity monitoring</w:t>
            </w:r>
          </w:p>
        </w:tc>
      </w:tr>
      <w:tr>
        <w:tc>
          <w:tcPr>
            <w:tcW w:type="dxa" w:w="2448"/>
            <w:vAlign w:val="top"/>
          </w:tcPr>
          <w:p>
            <w:r/>
            <w:r>
              <w:rPr>
                <w:b w:val="0"/>
                <w:sz w:val="17"/>
              </w:rPr>
              <w:t>REJECT / OUT</w:t>
            </w:r>
          </w:p>
        </w:tc>
        <w:tc>
          <w:tcPr>
            <w:tcW w:type="dxa" w:w="4320"/>
            <w:vAlign w:val="top"/>
          </w:tcPr>
          <w:p>
            <w:r/>
            <w:r>
              <w:rPr>
                <w:b w:val="0"/>
                <w:sz w:val="17"/>
              </w:rPr>
              <w:t>One or more historical gates failed</w:t>
            </w:r>
          </w:p>
        </w:tc>
        <w:tc>
          <w:tcPr>
            <w:tcW w:type="dxa" w:w="3168"/>
            <w:vAlign w:val="top"/>
          </w:tcPr>
          <w:p>
            <w:r/>
            <w:r>
              <w:rPr>
                <w:b w:val="0"/>
                <w:sz w:val="17"/>
              </w:rPr>
              <w:t>Do not use this wallet as a copy source until metrics improve</w:t>
            </w:r>
          </w:p>
        </w:tc>
      </w:tr>
      <w:tr>
        <w:tc>
          <w:tcPr>
            <w:tcW w:type="dxa" w:w="2448"/>
            <w:vAlign w:val="top"/>
          </w:tcPr>
          <w:p>
            <w:r/>
            <w:r>
              <w:rPr>
                <w:b w:val="0"/>
                <w:sz w:val="17"/>
              </w:rPr>
              <w:t>Top-20 rank</w:t>
            </w:r>
          </w:p>
        </w:tc>
        <w:tc>
          <w:tcPr>
            <w:tcW w:type="dxa" w:w="4320"/>
            <w:vAlign w:val="top"/>
          </w:tcPr>
          <w:p>
            <w:r/>
            <w:r>
              <w:rPr>
                <w:b w:val="0"/>
                <w:sz w:val="17"/>
              </w:rPr>
              <w:t>Best passing candidate after cross-chain normalisation</w:t>
            </w:r>
          </w:p>
        </w:tc>
        <w:tc>
          <w:tcPr>
            <w:tcW w:type="dxa" w:w="3168"/>
            <w:vAlign w:val="top"/>
          </w:tcPr>
          <w:p>
            <w:r/>
            <w:r>
              <w:rPr>
                <w:b w:val="0"/>
                <w:sz w:val="17"/>
              </w:rPr>
              <w:t>Priority for shadow/live-market research</w:t>
            </w:r>
          </w:p>
        </w:tc>
      </w:tr>
    </w:tbl>
    <w:p/>
    <w:p>
      <w:pPr>
        <w:pStyle w:val="Heading1"/>
      </w:pPr>
      <w:r>
        <w:t>6. Live IN / OUT Recommendation Gates</w:t>
      </w:r>
    </w:p>
    <w:p>
      <w:r>
        <w:t>The reference operations guide requires live economics to use an exact quote, gas/reserve allowance, input cap and minimum profit, with an atomic result that raises the protected final balance. It also requires first-route canary sizing and pausing on mismatches or repeated simulation/RPC failures. v1.6 maps those principles into the live recommendation feed.</w:t>
      </w:r>
    </w:p>
    <w:tbl>
      <w:tblPr>
        <w:tblStyle w:val="TableGrid"/>
        <w:tblW w:type="auto" w:w="0"/>
        <w:jc w:val="center"/>
        <w:tblLook w:firstColumn="1" w:firstRow="1" w:lastColumn="0" w:lastRow="0" w:noHBand="0" w:noVBand="1" w:val="04A0"/>
      </w:tblPr>
      <w:tblGrid>
        <w:gridCol w:w="5040"/>
        <w:gridCol w:w="5040"/>
      </w:tblGrid>
      <w:tr>
        <w:tc>
          <w:tcPr>
            <w:tcW w:type="dxa" w:w="3240"/>
            <w:shd w:fill="D9EAF7"/>
            <w:vAlign w:val="center"/>
          </w:tcPr>
          <w:p>
            <w:r/>
            <w:r>
              <w:rPr>
                <w:b/>
                <w:sz w:val="17"/>
              </w:rPr>
              <w:t>Live gate</w:t>
            </w:r>
          </w:p>
        </w:tc>
        <w:tc>
          <w:tcPr>
            <w:tcW w:type="dxa" w:w="6336"/>
            <w:shd w:fill="D9EAF7"/>
            <w:vAlign w:val="center"/>
          </w:tcPr>
          <w:p>
            <w:r/>
            <w:r>
              <w:rPr>
                <w:b/>
                <w:sz w:val="17"/>
              </w:rPr>
              <w:t>IN requirement</w:t>
            </w:r>
          </w:p>
        </w:tc>
      </w:tr>
      <w:tr>
        <w:tc>
          <w:tcPr>
            <w:tcW w:type="dxa" w:w="3240"/>
            <w:vAlign w:val="top"/>
          </w:tcPr>
          <w:p>
            <w:r/>
            <w:r>
              <w:rPr>
                <w:b w:val="0"/>
                <w:sz w:val="17"/>
              </w:rPr>
              <w:t>Top-20 source</w:t>
            </w:r>
          </w:p>
        </w:tc>
        <w:tc>
          <w:tcPr>
            <w:tcW w:type="dxa" w:w="6336"/>
            <w:vAlign w:val="top"/>
          </w:tcPr>
          <w:p>
            <w:r/>
            <w:r>
              <w:rPr>
                <w:b w:val="0"/>
                <w:sz w:val="17"/>
              </w:rPr>
              <w:t>Wallet must currently be in the approved Top-20</w:t>
            </w:r>
          </w:p>
        </w:tc>
      </w:tr>
      <w:tr>
        <w:tc>
          <w:tcPr>
            <w:tcW w:type="dxa" w:w="3240"/>
            <w:vAlign w:val="top"/>
          </w:tcPr>
          <w:p>
            <w:r/>
            <w:r>
              <w:rPr>
                <w:b w:val="0"/>
                <w:sz w:val="17"/>
              </w:rPr>
              <w:t>Freshness</w:t>
            </w:r>
          </w:p>
        </w:tc>
        <w:tc>
          <w:tcPr>
            <w:tcW w:type="dxa" w:w="6336"/>
            <w:vAlign w:val="top"/>
          </w:tcPr>
          <w:p>
            <w:r/>
            <w:r>
              <w:rPr>
                <w:b w:val="0"/>
                <w:sz w:val="17"/>
              </w:rPr>
              <w:t>Signal age must be within the configured maximum (default 2 seconds)</w:t>
            </w:r>
          </w:p>
        </w:tc>
      </w:tr>
      <w:tr>
        <w:tc>
          <w:tcPr>
            <w:tcW w:type="dxa" w:w="3240"/>
            <w:vAlign w:val="top"/>
          </w:tcPr>
          <w:p>
            <w:r/>
            <w:r>
              <w:rPr>
                <w:b w:val="0"/>
                <w:sz w:val="17"/>
              </w:rPr>
              <w:t>Source/protocol verified</w:t>
            </w:r>
          </w:p>
        </w:tc>
        <w:tc>
          <w:tcPr>
            <w:tcW w:type="dxa" w:w="6336"/>
            <w:vAlign w:val="top"/>
          </w:tcPr>
          <w:p>
            <w:r/>
            <w:r>
              <w:rPr>
                <w:b w:val="0"/>
                <w:sz w:val="17"/>
              </w:rPr>
              <w:t>Verified source/contract context</w:t>
            </w:r>
          </w:p>
        </w:tc>
      </w:tr>
      <w:tr>
        <w:tc>
          <w:tcPr>
            <w:tcW w:type="dxa" w:w="3240"/>
            <w:vAlign w:val="top"/>
          </w:tcPr>
          <w:p>
            <w:r/>
            <w:r>
              <w:rPr>
                <w:b w:val="0"/>
                <w:sz w:val="17"/>
              </w:rPr>
              <w:t>Exact quote</w:t>
            </w:r>
          </w:p>
        </w:tc>
        <w:tc>
          <w:tcPr>
            <w:tcW w:type="dxa" w:w="6336"/>
            <w:vAlign w:val="top"/>
          </w:tcPr>
          <w:p>
            <w:r/>
            <w:r>
              <w:rPr>
                <w:b w:val="0"/>
                <w:sz w:val="17"/>
              </w:rPr>
              <w:t>Current exact route quote is available</w:t>
            </w:r>
          </w:p>
        </w:tc>
      </w:tr>
      <w:tr>
        <w:tc>
          <w:tcPr>
            <w:tcW w:type="dxa" w:w="3240"/>
            <w:vAlign w:val="top"/>
          </w:tcPr>
          <w:p>
            <w:r/>
            <w:r>
              <w:rPr>
                <w:b w:val="0"/>
                <w:sz w:val="17"/>
              </w:rPr>
              <w:t>Simulation</w:t>
            </w:r>
          </w:p>
        </w:tc>
        <w:tc>
          <w:tcPr>
            <w:tcW w:type="dxa" w:w="6336"/>
            <w:vAlign w:val="top"/>
          </w:tcPr>
          <w:p>
            <w:r/>
            <w:r>
              <w:rPr>
                <w:b w:val="0"/>
                <w:sz w:val="17"/>
              </w:rPr>
              <w:t>Current transaction simulation succeeds</w:t>
            </w:r>
          </w:p>
        </w:tc>
      </w:tr>
      <w:tr>
        <w:tc>
          <w:tcPr>
            <w:tcW w:type="dxa" w:w="3240"/>
            <w:vAlign w:val="top"/>
          </w:tcPr>
          <w:p>
            <w:r/>
            <w:r>
              <w:rPr>
                <w:b w:val="0"/>
                <w:sz w:val="17"/>
              </w:rPr>
              <w:t>Liquidity</w:t>
            </w:r>
          </w:p>
        </w:tc>
        <w:tc>
          <w:tcPr>
            <w:tcW w:type="dxa" w:w="6336"/>
            <w:vAlign w:val="top"/>
          </w:tcPr>
          <w:p>
            <w:r/>
            <w:r>
              <w:rPr>
                <w:b w:val="0"/>
                <w:sz w:val="17"/>
              </w:rPr>
              <w:t>Liquidity check passes for the proposed size</w:t>
            </w:r>
          </w:p>
        </w:tc>
      </w:tr>
      <w:tr>
        <w:tc>
          <w:tcPr>
            <w:tcW w:type="dxa" w:w="3240"/>
            <w:vAlign w:val="top"/>
          </w:tcPr>
          <w:p>
            <w:r/>
            <w:r>
              <w:rPr>
                <w:b w:val="0"/>
                <w:sz w:val="17"/>
              </w:rPr>
              <w:t>Sellability</w:t>
            </w:r>
          </w:p>
        </w:tc>
        <w:tc>
          <w:tcPr>
            <w:tcW w:type="dxa" w:w="6336"/>
            <w:vAlign w:val="top"/>
          </w:tcPr>
          <w:p>
            <w:r/>
            <w:r>
              <w:rPr>
                <w:b w:val="0"/>
                <w:sz w:val="17"/>
              </w:rPr>
              <w:t>Exit/sellability check passes</w:t>
            </w:r>
          </w:p>
        </w:tc>
      </w:tr>
      <w:tr>
        <w:tc>
          <w:tcPr>
            <w:tcW w:type="dxa" w:w="3240"/>
            <w:vAlign w:val="top"/>
          </w:tcPr>
          <w:p>
            <w:r/>
            <w:r>
              <w:rPr>
                <w:b w:val="0"/>
                <w:sz w:val="17"/>
              </w:rPr>
              <w:t>Route approved</w:t>
            </w:r>
          </w:p>
        </w:tc>
        <w:tc>
          <w:tcPr>
            <w:tcW w:type="dxa" w:w="6336"/>
            <w:vAlign w:val="top"/>
          </w:tcPr>
          <w:p>
            <w:r/>
            <w:r>
              <w:rPr>
                <w:b w:val="0"/>
                <w:sz w:val="17"/>
              </w:rPr>
              <w:t>Individual route is approved</w:t>
            </w:r>
          </w:p>
        </w:tc>
      </w:tr>
      <w:tr>
        <w:tc>
          <w:tcPr>
            <w:tcW w:type="dxa" w:w="3240"/>
            <w:vAlign w:val="top"/>
          </w:tcPr>
          <w:p>
            <w:r/>
            <w:r>
              <w:rPr>
                <w:b w:val="0"/>
                <w:sz w:val="17"/>
              </w:rPr>
              <w:t>Whole route approved</w:t>
            </w:r>
          </w:p>
        </w:tc>
        <w:tc>
          <w:tcPr>
            <w:tcW w:type="dxa" w:w="6336"/>
            <w:vAlign w:val="top"/>
          </w:tcPr>
          <w:p>
            <w:r/>
            <w:r>
              <w:rPr>
                <w:b w:val="0"/>
                <w:sz w:val="17"/>
              </w:rPr>
              <w:t>All legs and route policy pass</w:t>
            </w:r>
          </w:p>
        </w:tc>
      </w:tr>
      <w:tr>
        <w:tc>
          <w:tcPr>
            <w:tcW w:type="dxa" w:w="3240"/>
            <w:vAlign w:val="top"/>
          </w:tcPr>
          <w:p>
            <w:r/>
            <w:r>
              <w:rPr>
                <w:b w:val="0"/>
                <w:sz w:val="17"/>
              </w:rPr>
              <w:t>Atomic profit protection</w:t>
            </w:r>
          </w:p>
        </w:tc>
        <w:tc>
          <w:tcPr>
            <w:tcW w:type="dxa" w:w="6336"/>
            <w:vAlign w:val="top"/>
          </w:tcPr>
          <w:p>
            <w:r/>
            <w:r>
              <w:rPr>
                <w:b w:val="0"/>
                <w:sz w:val="17"/>
              </w:rPr>
              <w:t>Execution layer is expected to revert if final protected balance does not rise sufficiently</w:t>
            </w:r>
          </w:p>
        </w:tc>
      </w:tr>
      <w:tr>
        <w:tc>
          <w:tcPr>
            <w:tcW w:type="dxa" w:w="3240"/>
            <w:vAlign w:val="top"/>
          </w:tcPr>
          <w:p>
            <w:r/>
            <w:r>
              <w:rPr>
                <w:b w:val="0"/>
                <w:sz w:val="17"/>
              </w:rPr>
              <w:t>Input cap</w:t>
            </w:r>
          </w:p>
        </w:tc>
        <w:tc>
          <w:tcPr>
            <w:tcW w:type="dxa" w:w="6336"/>
            <w:vAlign w:val="top"/>
          </w:tcPr>
          <w:p>
            <w:r/>
            <w:r>
              <w:rPr>
                <w:b w:val="0"/>
                <w:sz w:val="17"/>
              </w:rPr>
              <w:t>Recommended follower size is positive and inside the configured cap</w:t>
            </w:r>
          </w:p>
        </w:tc>
      </w:tr>
      <w:tr>
        <w:tc>
          <w:tcPr>
            <w:tcW w:type="dxa" w:w="3240"/>
            <w:vAlign w:val="top"/>
          </w:tcPr>
          <w:p>
            <w:r/>
            <w:r>
              <w:rPr>
                <w:b w:val="0"/>
                <w:sz w:val="17"/>
              </w:rPr>
              <w:t>Minimum conservative profit</w:t>
            </w:r>
          </w:p>
        </w:tc>
        <w:tc>
          <w:tcPr>
            <w:tcW w:type="dxa" w:w="6336"/>
            <w:vAlign w:val="top"/>
          </w:tcPr>
          <w:p>
            <w:r/>
            <w:r>
              <w:rPr>
                <w:b w:val="0"/>
                <w:sz w:val="17"/>
              </w:rPr>
              <w:t>Haircutted edge minus gas, builder fee and slippage reserve remains above the configured floor</w:t>
            </w:r>
          </w:p>
        </w:tc>
      </w:tr>
    </w:tbl>
    <w:p/>
    <w:p>
      <w:pPr>
        <w:pStyle w:val="Heading1"/>
      </w:pPr>
      <w:r>
        <w:t>7. Meaning of IN, OUT and SKIP</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D9EAF7"/>
            <w:vAlign w:val="center"/>
          </w:tcPr>
          <w:p>
            <w:r/>
            <w:r>
              <w:rPr>
                <w:b/>
                <w:sz w:val="17"/>
              </w:rPr>
              <w:t>Recommendation</w:t>
            </w:r>
          </w:p>
        </w:tc>
        <w:tc>
          <w:tcPr>
            <w:tcW w:type="dxa" w:w="4896"/>
            <w:shd w:fill="D9EAF7"/>
            <w:vAlign w:val="center"/>
          </w:tcPr>
          <w:p>
            <w:r/>
            <w:r>
              <w:rPr>
                <w:b/>
                <w:sz w:val="17"/>
              </w:rPr>
              <w:t>Meaning</w:t>
            </w:r>
          </w:p>
        </w:tc>
        <w:tc>
          <w:tcPr>
            <w:tcW w:type="dxa" w:w="3024"/>
            <w:shd w:fill="D9EAF7"/>
            <w:vAlign w:val="center"/>
          </w:tcPr>
          <w:p>
            <w:r/>
            <w:r>
              <w:rPr>
                <w:b/>
                <w:sz w:val="17"/>
              </w:rPr>
              <w:t>Do not interpret as</w:t>
            </w:r>
          </w:p>
        </w:tc>
      </w:tr>
      <w:tr>
        <w:tc>
          <w:tcPr>
            <w:tcW w:type="dxa" w:w="1728"/>
            <w:vAlign w:val="top"/>
          </w:tcPr>
          <w:p>
            <w:r/>
            <w:r>
              <w:rPr>
                <w:b w:val="0"/>
                <w:sz w:val="17"/>
              </w:rPr>
              <w:t>IN</w:t>
            </w:r>
          </w:p>
        </w:tc>
        <w:tc>
          <w:tcPr>
            <w:tcW w:type="dxa" w:w="4896"/>
            <w:vAlign w:val="top"/>
          </w:tcPr>
          <w:p>
            <w:r/>
            <w:r>
              <w:rPr>
                <w:b w:val="0"/>
                <w:sz w:val="17"/>
              </w:rPr>
              <w:t>All configured current-market gates passed for an approved Top-20 source</w:t>
            </w:r>
          </w:p>
        </w:tc>
        <w:tc>
          <w:tcPr>
            <w:tcW w:type="dxa" w:w="3024"/>
            <w:vAlign w:val="top"/>
          </w:tcPr>
          <w:p>
            <w:r/>
            <w:r>
              <w:rPr>
                <w:b w:val="0"/>
                <w:sz w:val="17"/>
              </w:rPr>
              <w:t>Guaranteed profit or automatic execution</w:t>
            </w:r>
          </w:p>
        </w:tc>
      </w:tr>
      <w:tr>
        <w:tc>
          <w:tcPr>
            <w:tcW w:type="dxa" w:w="1728"/>
            <w:vAlign w:val="top"/>
          </w:tcPr>
          <w:p>
            <w:r/>
            <w:r>
              <w:rPr>
                <w:b w:val="0"/>
                <w:sz w:val="17"/>
              </w:rPr>
              <w:t>OUT</w:t>
            </w:r>
          </w:p>
        </w:tc>
        <w:tc>
          <w:tcPr>
            <w:tcW w:type="dxa" w:w="4896"/>
            <w:vAlign w:val="top"/>
          </w:tcPr>
          <w:p>
            <w:r/>
            <w:r>
              <w:rPr>
                <w:b w:val="0"/>
                <w:sz w:val="17"/>
              </w:rPr>
              <w:t>Top-20 wallet exists, but one or more live gates failed or the signal is stale</w:t>
            </w:r>
          </w:p>
        </w:tc>
        <w:tc>
          <w:tcPr>
            <w:tcW w:type="dxa" w:w="3024"/>
            <w:vAlign w:val="top"/>
          </w:tcPr>
          <w:p>
            <w:r/>
            <w:r>
              <w:rPr>
                <w:b w:val="0"/>
                <w:sz w:val="17"/>
              </w:rPr>
              <w:t>Permanent rejection of the wallet</w:t>
            </w:r>
          </w:p>
        </w:tc>
      </w:tr>
      <w:tr>
        <w:tc>
          <w:tcPr>
            <w:tcW w:type="dxa" w:w="1728"/>
            <w:vAlign w:val="top"/>
          </w:tcPr>
          <w:p>
            <w:r/>
            <w:r>
              <w:rPr>
                <w:b w:val="0"/>
                <w:sz w:val="17"/>
              </w:rPr>
              <w:t>SKIP</w:t>
            </w:r>
          </w:p>
        </w:tc>
        <w:tc>
          <w:tcPr>
            <w:tcW w:type="dxa" w:w="4896"/>
            <w:vAlign w:val="top"/>
          </w:tcPr>
          <w:p>
            <w:r/>
            <w:r>
              <w:rPr>
                <w:b w:val="0"/>
                <w:sz w:val="17"/>
              </w:rPr>
              <w:t>Wallet is not in the current approved Top-20</w:t>
            </w:r>
          </w:p>
        </w:tc>
        <w:tc>
          <w:tcPr>
            <w:tcW w:type="dxa" w:w="3024"/>
            <w:vAlign w:val="top"/>
          </w:tcPr>
          <w:p>
            <w:r/>
            <w:r>
              <w:rPr>
                <w:b w:val="0"/>
                <w:sz w:val="17"/>
              </w:rPr>
              <w:t>Proof the source wallet is unprofitable</w:t>
            </w:r>
          </w:p>
        </w:tc>
      </w:tr>
    </w:tbl>
    <w:p/>
    <w:p>
      <w:pPr>
        <w:pStyle w:val="Heading1"/>
      </w:pPr>
      <w:r>
        <w:t>8. Follower Haircut: Deliberately Assume Less Profit than the Source</w:t>
      </w:r>
    </w:p>
    <w:p>
      <w:r>
        <w:t>The source wallet may have lower latency, better builder relationships, different gas treatment, more capital, private orderflow or superior infrastructure. v1.6 therefore does not assume the follower can capture the source result.</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D9EAF7"/>
            <w:vAlign w:val="center"/>
          </w:tcPr>
          <w:p>
            <w:r/>
            <w:r>
              <w:rPr>
                <w:b/>
                <w:sz w:val="17"/>
              </w:rPr>
              <w:t>Default control</w:t>
            </w:r>
          </w:p>
        </w:tc>
        <w:tc>
          <w:tcPr>
            <w:tcW w:type="dxa" w:w="1872"/>
            <w:shd w:fill="D9EAF7"/>
            <w:vAlign w:val="center"/>
          </w:tcPr>
          <w:p>
            <w:r/>
            <w:r>
              <w:rPr>
                <w:b/>
                <w:sz w:val="17"/>
              </w:rPr>
              <w:t>Value</w:t>
            </w:r>
          </w:p>
        </w:tc>
        <w:tc>
          <w:tcPr>
            <w:tcW w:type="dxa" w:w="4608"/>
            <w:shd w:fill="D9EAF7"/>
            <w:vAlign w:val="center"/>
          </w:tcPr>
          <w:p>
            <w:r/>
            <w:r>
              <w:rPr>
                <w:b/>
                <w:sz w:val="17"/>
              </w:rPr>
              <w:t>Effect</w:t>
            </w:r>
          </w:p>
        </w:tc>
      </w:tr>
      <w:tr>
        <w:tc>
          <w:tcPr>
            <w:tcW w:type="dxa" w:w="3168"/>
            <w:vAlign w:val="top"/>
          </w:tcPr>
          <w:p>
            <w:r/>
            <w:r>
              <w:rPr>
                <w:b w:val="0"/>
                <w:sz w:val="17"/>
              </w:rPr>
              <w:t>Source sizing copied</w:t>
            </w:r>
          </w:p>
        </w:tc>
        <w:tc>
          <w:tcPr>
            <w:tcW w:type="dxa" w:w="1872"/>
            <w:vAlign w:val="top"/>
          </w:tcPr>
          <w:p>
            <w:r/>
            <w:r>
              <w:rPr>
                <w:b w:val="0"/>
                <w:sz w:val="17"/>
              </w:rPr>
              <w:t>25%</w:t>
            </w:r>
          </w:p>
        </w:tc>
        <w:tc>
          <w:tcPr>
            <w:tcW w:type="dxa" w:w="4608"/>
            <w:vAlign w:val="top"/>
          </w:tcPr>
          <w:p>
            <w:r/>
            <w:r>
              <w:rPr>
                <w:b w:val="0"/>
                <w:sz w:val="17"/>
              </w:rPr>
              <w:t>Follower starts smaller than the observed/source size</w:t>
            </w:r>
          </w:p>
        </w:tc>
      </w:tr>
      <w:tr>
        <w:tc>
          <w:tcPr>
            <w:tcW w:type="dxa" w:w="3168"/>
            <w:vAlign w:val="top"/>
          </w:tcPr>
          <w:p>
            <w:r/>
            <w:r>
              <w:rPr>
                <w:b w:val="0"/>
                <w:sz w:val="17"/>
              </w:rPr>
              <w:t>Gross edge captured</w:t>
            </w:r>
          </w:p>
        </w:tc>
        <w:tc>
          <w:tcPr>
            <w:tcW w:type="dxa" w:w="1872"/>
            <w:vAlign w:val="top"/>
          </w:tcPr>
          <w:p>
            <w:r/>
            <w:r>
              <w:rPr>
                <w:b w:val="0"/>
                <w:sz w:val="17"/>
              </w:rPr>
              <w:t>50%</w:t>
            </w:r>
          </w:p>
        </w:tc>
        <w:tc>
          <w:tcPr>
            <w:tcW w:type="dxa" w:w="4608"/>
            <w:vAlign w:val="top"/>
          </w:tcPr>
          <w:p>
            <w:r/>
            <w:r>
              <w:rPr>
                <w:b w:val="0"/>
                <w:sz w:val="17"/>
              </w:rPr>
              <w:t>Only half of the source gross edge is assumed to survive</w:t>
            </w:r>
          </w:p>
        </w:tc>
      </w:tr>
      <w:tr>
        <w:tc>
          <w:tcPr>
            <w:tcW w:type="dxa" w:w="3168"/>
            <w:vAlign w:val="top"/>
          </w:tcPr>
          <w:p>
            <w:r/>
            <w:r>
              <w:rPr>
                <w:b w:val="0"/>
                <w:sz w:val="17"/>
              </w:rPr>
              <w:t>Canary cap</w:t>
            </w:r>
          </w:p>
        </w:tc>
        <w:tc>
          <w:tcPr>
            <w:tcW w:type="dxa" w:w="1872"/>
            <w:vAlign w:val="top"/>
          </w:tcPr>
          <w:p>
            <w:r/>
            <w:r>
              <w:rPr>
                <w:b w:val="0"/>
                <w:sz w:val="17"/>
              </w:rPr>
              <w:t>0.05 base</w:t>
            </w:r>
          </w:p>
        </w:tc>
        <w:tc>
          <w:tcPr>
            <w:tcW w:type="dxa" w:w="4608"/>
            <w:vAlign w:val="top"/>
          </w:tcPr>
          <w:p>
            <w:r/>
            <w:r>
              <w:rPr>
                <w:b w:val="0"/>
                <w:sz w:val="17"/>
              </w:rPr>
              <w:t>First unverified recommendation is capped at the smallest configured test size</w:t>
            </w:r>
          </w:p>
        </w:tc>
      </w:tr>
      <w:tr>
        <w:tc>
          <w:tcPr>
            <w:tcW w:type="dxa" w:w="3168"/>
            <w:vAlign w:val="top"/>
          </w:tcPr>
          <w:p>
            <w:r/>
            <w:r>
              <w:rPr>
                <w:b w:val="0"/>
                <w:sz w:val="17"/>
              </w:rPr>
              <w:t>Own gas</w:t>
            </w:r>
          </w:p>
        </w:tc>
        <w:tc>
          <w:tcPr>
            <w:tcW w:type="dxa" w:w="1872"/>
            <w:vAlign w:val="top"/>
          </w:tcPr>
          <w:p>
            <w:r/>
            <w:r>
              <w:rPr>
                <w:b w:val="0"/>
                <w:sz w:val="17"/>
              </w:rPr>
              <w:t>Deducted</w:t>
            </w:r>
          </w:p>
        </w:tc>
        <w:tc>
          <w:tcPr>
            <w:tcW w:type="dxa" w:w="4608"/>
            <w:vAlign w:val="top"/>
          </w:tcPr>
          <w:p>
            <w:r/>
            <w:r>
              <w:rPr>
                <w:b w:val="0"/>
                <w:sz w:val="17"/>
              </w:rPr>
              <w:t>Follower pays its own execution cost</w:t>
            </w:r>
          </w:p>
        </w:tc>
      </w:tr>
      <w:tr>
        <w:tc>
          <w:tcPr>
            <w:tcW w:type="dxa" w:w="3168"/>
            <w:vAlign w:val="top"/>
          </w:tcPr>
          <w:p>
            <w:r/>
            <w:r>
              <w:rPr>
                <w:b w:val="0"/>
                <w:sz w:val="17"/>
              </w:rPr>
              <w:t>Builder/private fee</w:t>
            </w:r>
          </w:p>
        </w:tc>
        <w:tc>
          <w:tcPr>
            <w:tcW w:type="dxa" w:w="1872"/>
            <w:vAlign w:val="top"/>
          </w:tcPr>
          <w:p>
            <w:r/>
            <w:r>
              <w:rPr>
                <w:b w:val="0"/>
                <w:sz w:val="17"/>
              </w:rPr>
              <w:t>Deducted</w:t>
            </w:r>
          </w:p>
        </w:tc>
        <w:tc>
          <w:tcPr>
            <w:tcW w:type="dxa" w:w="4608"/>
            <w:vAlign w:val="top"/>
          </w:tcPr>
          <w:p>
            <w:r/>
            <w:r>
              <w:rPr>
                <w:b w:val="0"/>
                <w:sz w:val="17"/>
              </w:rPr>
              <w:t>Private inclusion cost is included</w:t>
            </w:r>
          </w:p>
        </w:tc>
      </w:tr>
      <w:tr>
        <w:tc>
          <w:tcPr>
            <w:tcW w:type="dxa" w:w="3168"/>
            <w:vAlign w:val="top"/>
          </w:tcPr>
          <w:p>
            <w:r/>
            <w:r>
              <w:rPr>
                <w:b w:val="0"/>
                <w:sz w:val="17"/>
              </w:rPr>
              <w:t>Slippage reserve</w:t>
            </w:r>
          </w:p>
        </w:tc>
        <w:tc>
          <w:tcPr>
            <w:tcW w:type="dxa" w:w="1872"/>
            <w:vAlign w:val="top"/>
          </w:tcPr>
          <w:p>
            <w:r/>
            <w:r>
              <w:rPr>
                <w:b w:val="0"/>
                <w:sz w:val="17"/>
              </w:rPr>
              <w:t>Deducted</w:t>
            </w:r>
          </w:p>
        </w:tc>
        <w:tc>
          <w:tcPr>
            <w:tcW w:type="dxa" w:w="4608"/>
            <w:vAlign w:val="top"/>
          </w:tcPr>
          <w:p>
            <w:r/>
            <w:r>
              <w:rPr>
                <w:b w:val="0"/>
                <w:sz w:val="17"/>
              </w:rPr>
              <w:t>Additional margin protects against state change and price impact</w:t>
            </w:r>
          </w:p>
        </w:tc>
      </w:tr>
    </w:tbl>
    <w:p/>
    <w:p>
      <w:r>
        <w:t>Worked example:</w:t>
      </w:r>
    </w:p>
    <w:tbl>
      <w:tblPr>
        <w:tblStyle w:val="TableGrid"/>
        <w:tblW w:type="auto" w:w="0"/>
        <w:jc w:val="center"/>
        <w:tblLook w:firstColumn="1" w:firstRow="1" w:lastColumn="0" w:lastRow="0" w:noHBand="0" w:noVBand="1" w:val="04A0"/>
      </w:tblPr>
      <w:tblGrid>
        <w:gridCol w:w="10080"/>
      </w:tblGrid>
      <w:tr>
        <w:tc>
          <w:tcPr>
            <w:tcW w:type="dxa" w:w="10080"/>
            <w:shd w:fill="F3F5F7"/>
          </w:tcPr>
          <w:p>
            <w:pPr>
              <w:spacing w:after="0"/>
            </w:pPr>
            <w:r/>
            <w:r>
              <w:rPr>
                <w:rFonts w:ascii="Consolas" w:hAnsi="Consolas"/>
                <w:sz w:val="16"/>
              </w:rPr>
              <w:t>Source input:                     1.000 base</w:t>
            </w:r>
            <w:r>
              <w:br/>
            </w:r>
            <w:r>
              <w:rPr>
                <w:rFonts w:ascii="Consolas" w:hAnsi="Consolas"/>
                <w:sz w:val="16"/>
              </w:rPr>
              <w:t>Follower size at 25%:             0.250 base</w:t>
            </w:r>
            <w:r>
              <w:br/>
            </w:r>
            <w:r>
              <w:rPr>
                <w:rFonts w:ascii="Consolas" w:hAnsi="Consolas"/>
                <w:sz w:val="16"/>
              </w:rPr>
              <w:t>Canary not yet complete → cap:    0.050 base</w:t>
            </w:r>
            <w:r>
              <w:br/>
            </w:r>
            <w:r>
              <w:rPr>
                <w:rFonts w:ascii="Consolas" w:hAnsi="Consolas"/>
                <w:sz w:val="16"/>
              </w:rPr>
            </w:r>
            <w:r>
              <w:br/>
            </w:r>
            <w:r>
              <w:rPr>
                <w:rFonts w:ascii="Consolas" w:hAnsi="Consolas"/>
                <w:sz w:val="16"/>
              </w:rPr>
              <w:t>Source expected gross edge:      +0.020 base</w:t>
            </w:r>
            <w:r>
              <w:br/>
            </w:r>
            <w:r>
              <w:rPr>
                <w:rFonts w:ascii="Consolas" w:hAnsi="Consolas"/>
                <w:sz w:val="16"/>
              </w:rPr>
              <w:t>Follower assumes 50% survives:   +0.010 base</w:t>
            </w:r>
            <w:r>
              <w:br/>
            </w:r>
            <w:r>
              <w:rPr>
                <w:rFonts w:ascii="Consolas" w:hAnsi="Consolas"/>
                <w:sz w:val="16"/>
              </w:rPr>
              <w:t>Gas:                             -0.001</w:t>
            </w:r>
            <w:r>
              <w:br/>
            </w:r>
            <w:r>
              <w:rPr>
                <w:rFonts w:ascii="Consolas" w:hAnsi="Consolas"/>
                <w:sz w:val="16"/>
              </w:rPr>
              <w:t>Builder/private fee:             -0.001</w:t>
            </w:r>
            <w:r>
              <w:br/>
            </w:r>
            <w:r>
              <w:rPr>
                <w:rFonts w:ascii="Consolas" w:hAnsi="Consolas"/>
                <w:sz w:val="16"/>
              </w:rPr>
              <w:t>Slippage reserve:                -0.001</w:t>
            </w:r>
            <w:r>
              <w:br/>
            </w:r>
            <w:r>
              <w:rPr>
                <w:rFonts w:ascii="Consolas" w:hAnsi="Consolas"/>
                <w:sz w:val="16"/>
              </w:rPr>
              <w:t xml:space="preserve">                                  ------</w:t>
            </w:r>
            <w:r>
              <w:br/>
            </w:r>
            <w:r>
              <w:rPr>
                <w:rFonts w:ascii="Consolas" w:hAnsi="Consolas"/>
                <w:sz w:val="16"/>
              </w:rPr>
              <w:t>Conservative follower net:       +0.007 base</w:t>
            </w:r>
            <w:r>
              <w:br/>
            </w:r>
            <w:r>
              <w:rPr>
                <w:rFonts w:ascii="Consolas" w:hAnsi="Consolas"/>
                <w:sz w:val="16"/>
              </w:rPr>
            </w:r>
            <w:r>
              <w:br/>
            </w:r>
            <w:r>
              <w:rPr>
                <w:rFonts w:ascii="Consolas" w:hAnsi="Consolas"/>
                <w:sz w:val="16"/>
              </w:rPr>
              <w:t>If the configured minimum is 0.001 and every other gate passes:</w:t>
            </w:r>
            <w:r>
              <w:br/>
            </w:r>
            <w:r>
              <w:rPr>
                <w:rFonts w:ascii="Consolas" w:hAnsi="Consolas"/>
                <w:sz w:val="16"/>
              </w:rPr>
              <w:t>Recommendation = IN (advisory / shadow-first)</w:t>
            </w:r>
          </w:p>
        </w:tc>
      </w:tr>
    </w:tbl>
    <w:p/>
    <w:p>
      <w:pPr>
        <w:pStyle w:val="Heading1"/>
      </w:pPr>
      <w:r>
        <w:t>9. CSVbot Controls</w:t>
      </w:r>
    </w:p>
    <w:p>
      <w:r>
        <w:t>All operational controls remain inside the bot folder:</w:t>
      </w:r>
    </w:p>
    <w:tbl>
      <w:tblPr>
        <w:tblStyle w:val="TableGrid"/>
        <w:tblW w:type="auto" w:w="0"/>
        <w:jc w:val="center"/>
        <w:tblLook w:firstColumn="1" w:firstRow="1" w:lastColumn="0" w:lastRow="0" w:noHBand="0" w:noVBand="1" w:val="04A0"/>
      </w:tblPr>
      <w:tblGrid>
        <w:gridCol w:w="10080"/>
      </w:tblGrid>
      <w:tr>
        <w:tc>
          <w:tcPr>
            <w:tcW w:type="dxa" w:w="10080"/>
            <w:shd w:fill="F3F5F7"/>
          </w:tcPr>
          <w:p>
            <w:pPr>
              <w:spacing w:after="0"/>
            </w:pPr>
            <w:r/>
            <w:r>
              <w:rPr>
                <w:rFonts w:ascii="Consolas" w:hAnsi="Consolas"/>
                <w:sz w:val="16"/>
              </w:rPr>
              <w:t>/root/multichain-learning-bot-v1.6-final/CSVbot/</w:t>
            </w:r>
            <w:r>
              <w:br/>
            </w:r>
            <w:r>
              <w:rPr>
                <w:rFonts w:ascii="Consolas" w:hAnsi="Consolas"/>
                <w:sz w:val="16"/>
              </w:rPr>
              <w:t>├── copy_settings.csv</w:t>
            </w:r>
            <w:r>
              <w:br/>
            </w:r>
            <w:r>
              <w:rPr>
                <w:rFonts w:ascii="Consolas" w:hAnsi="Consolas"/>
                <w:sz w:val="16"/>
              </w:rPr>
              <w:t>├── live_opportunities.csv</w:t>
            </w:r>
            <w:r>
              <w:br/>
            </w:r>
            <w:r>
              <w:rPr>
                <w:rFonts w:ascii="Consolas" w:hAnsi="Consolas"/>
                <w:sz w:val="16"/>
              </w:rPr>
              <w:t>├── behaviour_settings.csv</w:t>
            </w:r>
            <w:r>
              <w:br/>
            </w:r>
            <w:r>
              <w:rPr>
                <w:rFonts w:ascii="Consolas" w:hAnsi="Consolas"/>
                <w:sz w:val="16"/>
              </w:rPr>
              <w:t>├── behaviour_registry.csv</w:t>
            </w:r>
            <w:r>
              <w:br/>
            </w:r>
            <w:r>
              <w:rPr>
                <w:rFonts w:ascii="Consolas" w:hAnsi="Consolas"/>
                <w:sz w:val="16"/>
              </w:rPr>
              <w:t>├── chains.csv</w:t>
            </w:r>
            <w:r>
              <w:br/>
            </w:r>
            <w:r>
              <w:rPr>
                <w:rFonts w:ascii="Consolas" w:hAnsi="Consolas"/>
                <w:sz w:val="16"/>
              </w:rPr>
              <w:t>├── rpc_endpoints.csv</w:t>
            </w:r>
            <w:r>
              <w:br/>
            </w:r>
            <w:r>
              <w:rPr>
                <w:rFonts w:ascii="Consolas" w:hAnsi="Consolas"/>
                <w:sz w:val="16"/>
              </w:rPr>
              <w:t>├── dex_registry.csv</w:t>
            </w:r>
            <w:r>
              <w:br/>
            </w:r>
            <w:r>
              <w:rPr>
                <w:rFonts w:ascii="Consolas" w:hAnsi="Consolas"/>
                <w:sz w:val="16"/>
              </w:rPr>
              <w:t>├── builders.csv</w:t>
            </w:r>
            <w:r>
              <w:br/>
            </w:r>
            <w:r>
              <w:rPr>
                <w:rFonts w:ascii="Consolas" w:hAnsi="Consolas"/>
                <w:sz w:val="16"/>
              </w:rPr>
              <w:t>├── risk_settings.csv</w:t>
            </w:r>
            <w:r>
              <w:br/>
            </w:r>
            <w:r>
              <w:rPr>
                <w:rFonts w:ascii="Consolas" w:hAnsi="Consolas"/>
                <w:sz w:val="16"/>
              </w:rPr>
              <w:t>├── strategy_settings.csv</w:t>
            </w:r>
            <w:r>
              <w:br/>
            </w:r>
            <w:r>
              <w:rPr>
                <w:rFonts w:ascii="Consolas" w:hAnsi="Consolas"/>
                <w:sz w:val="16"/>
              </w:rPr>
              <w:t>├── wallet_watchlist.csv</w:t>
            </w:r>
            <w:r>
              <w:br/>
            </w:r>
            <w:r>
              <w:rPr>
                <w:rFonts w:ascii="Consolas" w:hAnsi="Consolas"/>
                <w:sz w:val="16"/>
              </w:rPr>
              <w:t>├── wallet_blocklist.csv</w:t>
            </w:r>
            <w:r>
              <w:br/>
            </w:r>
            <w:r>
              <w:rPr>
                <w:rFonts w:ascii="Consolas" w:hAnsi="Consolas"/>
                <w:sz w:val="16"/>
              </w:rPr>
              <w:t>└── auto/</w:t>
            </w:r>
          </w:p>
        </w:tc>
      </w:tr>
    </w:tbl>
    <w:p/>
    <w:p>
      <w:pPr>
        <w:pStyle w:val="Heading2"/>
      </w:pPr>
      <w:r>
        <w:t>9.1 copy_settings.csv</w:t>
      </w:r>
    </w:p>
    <w:p>
      <w:r>
        <w:t>This file controls Top-20 eligibility and live IN/OUT gates. The settings are hot-reloaded on each learning cycle.</w:t>
      </w:r>
    </w:p>
    <w:tbl>
      <w:tblPr>
        <w:tblStyle w:val="TableGrid"/>
        <w:tblW w:type="auto" w:w="0"/>
        <w:jc w:val="center"/>
        <w:tblLook w:firstColumn="1" w:firstRow="1" w:lastColumn="0" w:lastRow="0" w:noHBand="0" w:noVBand="1" w:val="04A0"/>
      </w:tblPr>
      <w:tblGrid>
        <w:gridCol w:w="3360"/>
        <w:gridCol w:w="3360"/>
        <w:gridCol w:w="3360"/>
      </w:tblGrid>
      <w:tr>
        <w:tc>
          <w:tcPr>
            <w:tcW w:type="dxa" w:w="3816"/>
            <w:shd w:fill="D9EAF7"/>
            <w:vAlign w:val="center"/>
          </w:tcPr>
          <w:p>
            <w:r/>
            <w:r>
              <w:rPr>
                <w:b/>
                <w:sz w:val="17"/>
              </w:rPr>
              <w:t>Setting</w:t>
            </w:r>
          </w:p>
        </w:tc>
        <w:tc>
          <w:tcPr>
            <w:tcW w:type="dxa" w:w="1440"/>
            <w:shd w:fill="D9EAF7"/>
            <w:vAlign w:val="center"/>
          </w:tcPr>
          <w:p>
            <w:r/>
            <w:r>
              <w:rPr>
                <w:b/>
                <w:sz w:val="17"/>
              </w:rPr>
              <w:t>Default</w:t>
            </w:r>
          </w:p>
        </w:tc>
        <w:tc>
          <w:tcPr>
            <w:tcW w:type="dxa" w:w="4320"/>
            <w:shd w:fill="D9EAF7"/>
            <w:vAlign w:val="center"/>
          </w:tcPr>
          <w:p>
            <w:r/>
            <w:r>
              <w:rPr>
                <w:b/>
                <w:sz w:val="17"/>
              </w:rPr>
              <w:t>Purpose</w:t>
            </w:r>
          </w:p>
        </w:tc>
      </w:tr>
      <w:tr>
        <w:tc>
          <w:tcPr>
            <w:tcW w:type="dxa" w:w="3816"/>
            <w:vAlign w:val="top"/>
          </w:tcPr>
          <w:p>
            <w:r/>
            <w:r>
              <w:rPr>
                <w:b w:val="0"/>
                <w:sz w:val="17"/>
              </w:rPr>
              <w:t>top_wallets</w:t>
            </w:r>
          </w:p>
        </w:tc>
        <w:tc>
          <w:tcPr>
            <w:tcW w:type="dxa" w:w="1440"/>
            <w:vAlign w:val="top"/>
          </w:tcPr>
          <w:p>
            <w:r/>
            <w:r>
              <w:rPr>
                <w:b w:val="0"/>
                <w:sz w:val="17"/>
              </w:rPr>
              <w:t>20</w:t>
            </w:r>
          </w:p>
        </w:tc>
        <w:tc>
          <w:tcPr>
            <w:tcW w:type="dxa" w:w="4320"/>
            <w:vAlign w:val="top"/>
          </w:tcPr>
          <w:p>
            <w:r/>
            <w:r>
              <w:rPr>
                <w:b w:val="0"/>
                <w:sz w:val="17"/>
              </w:rPr>
              <w:t>Maximum global approved copy list</w:t>
            </w:r>
          </w:p>
        </w:tc>
      </w:tr>
      <w:tr>
        <w:tc>
          <w:tcPr>
            <w:tcW w:type="dxa" w:w="3816"/>
            <w:vAlign w:val="top"/>
          </w:tcPr>
          <w:p>
            <w:r/>
            <w:r>
              <w:rPr>
                <w:b w:val="0"/>
                <w:sz w:val="17"/>
              </w:rPr>
              <w:t>min_proven_trades</w:t>
            </w:r>
          </w:p>
        </w:tc>
        <w:tc>
          <w:tcPr>
            <w:tcW w:type="dxa" w:w="1440"/>
            <w:vAlign w:val="top"/>
          </w:tcPr>
          <w:p>
            <w:r/>
            <w:r>
              <w:rPr>
                <w:b w:val="0"/>
                <w:sz w:val="17"/>
              </w:rPr>
              <w:t>20</w:t>
            </w:r>
          </w:p>
        </w:tc>
        <w:tc>
          <w:tcPr>
            <w:tcW w:type="dxa" w:w="4320"/>
            <w:vAlign w:val="top"/>
          </w:tcPr>
          <w:p>
            <w:r/>
            <w:r>
              <w:rPr>
                <w:b w:val="0"/>
                <w:sz w:val="17"/>
              </w:rPr>
              <w:t>Closed-cycle evidence minimum</w:t>
            </w:r>
          </w:p>
        </w:tc>
      </w:tr>
      <w:tr>
        <w:tc>
          <w:tcPr>
            <w:tcW w:type="dxa" w:w="3816"/>
            <w:vAlign w:val="top"/>
          </w:tcPr>
          <w:p>
            <w:r/>
            <w:r>
              <w:rPr>
                <w:b w:val="0"/>
                <w:sz w:val="17"/>
              </w:rPr>
              <w:t>min_positive_ratio</w:t>
            </w:r>
          </w:p>
        </w:tc>
        <w:tc>
          <w:tcPr>
            <w:tcW w:type="dxa" w:w="1440"/>
            <w:vAlign w:val="top"/>
          </w:tcPr>
          <w:p>
            <w:r/>
            <w:r>
              <w:rPr>
                <w:b w:val="0"/>
                <w:sz w:val="17"/>
              </w:rPr>
              <w:t>0.70</w:t>
            </w:r>
          </w:p>
        </w:tc>
        <w:tc>
          <w:tcPr>
            <w:tcW w:type="dxa" w:w="4320"/>
            <w:vAlign w:val="top"/>
          </w:tcPr>
          <w:p>
            <w:r/>
            <w:r>
              <w:rPr>
                <w:b w:val="0"/>
                <w:sz w:val="17"/>
              </w:rPr>
              <w:t>Consistency minimum</w:t>
            </w:r>
          </w:p>
        </w:tc>
      </w:tr>
      <w:tr>
        <w:tc>
          <w:tcPr>
            <w:tcW w:type="dxa" w:w="3816"/>
            <w:vAlign w:val="top"/>
          </w:tcPr>
          <w:p>
            <w:r/>
            <w:r>
              <w:rPr>
                <w:b w:val="0"/>
                <w:sz w:val="17"/>
              </w:rPr>
              <w:t>copy_size_pct_of_source</w:t>
            </w:r>
          </w:p>
        </w:tc>
        <w:tc>
          <w:tcPr>
            <w:tcW w:type="dxa" w:w="1440"/>
            <w:vAlign w:val="top"/>
          </w:tcPr>
          <w:p>
            <w:r/>
            <w:r>
              <w:rPr>
                <w:b w:val="0"/>
                <w:sz w:val="17"/>
              </w:rPr>
              <w:t>25</w:t>
            </w:r>
          </w:p>
        </w:tc>
        <w:tc>
          <w:tcPr>
            <w:tcW w:type="dxa" w:w="4320"/>
            <w:vAlign w:val="top"/>
          </w:tcPr>
          <w:p>
            <w:r/>
            <w:r>
              <w:rPr>
                <w:b w:val="0"/>
                <w:sz w:val="17"/>
              </w:rPr>
              <w:t>Initial follower sizing reference</w:t>
            </w:r>
          </w:p>
        </w:tc>
      </w:tr>
      <w:tr>
        <w:tc>
          <w:tcPr>
            <w:tcW w:type="dxa" w:w="3816"/>
            <w:vAlign w:val="top"/>
          </w:tcPr>
          <w:p>
            <w:r/>
            <w:r>
              <w:rPr>
                <w:b w:val="0"/>
                <w:sz w:val="17"/>
              </w:rPr>
              <w:t>copy_edge_capture_pct</w:t>
            </w:r>
          </w:p>
        </w:tc>
        <w:tc>
          <w:tcPr>
            <w:tcW w:type="dxa" w:w="1440"/>
            <w:vAlign w:val="top"/>
          </w:tcPr>
          <w:p>
            <w:r/>
            <w:r>
              <w:rPr>
                <w:b w:val="0"/>
                <w:sz w:val="17"/>
              </w:rPr>
              <w:t>50</w:t>
            </w:r>
          </w:p>
        </w:tc>
        <w:tc>
          <w:tcPr>
            <w:tcW w:type="dxa" w:w="4320"/>
            <w:vAlign w:val="top"/>
          </w:tcPr>
          <w:p>
            <w:r/>
            <w:r>
              <w:rPr>
                <w:b w:val="0"/>
                <w:sz w:val="17"/>
              </w:rPr>
              <w:t>Conservative source-edge survival assumption</w:t>
            </w:r>
          </w:p>
        </w:tc>
      </w:tr>
      <w:tr>
        <w:tc>
          <w:tcPr>
            <w:tcW w:type="dxa" w:w="3816"/>
            <w:vAlign w:val="top"/>
          </w:tcPr>
          <w:p>
            <w:r/>
            <w:r>
              <w:rPr>
                <w:b w:val="0"/>
                <w:sz w:val="17"/>
              </w:rPr>
              <w:t>canary_required</w:t>
            </w:r>
          </w:p>
        </w:tc>
        <w:tc>
          <w:tcPr>
            <w:tcW w:type="dxa" w:w="1440"/>
            <w:vAlign w:val="top"/>
          </w:tcPr>
          <w:p>
            <w:r/>
            <w:r>
              <w:rPr>
                <w:b w:val="0"/>
                <w:sz w:val="17"/>
              </w:rPr>
              <w:t>true</w:t>
            </w:r>
          </w:p>
        </w:tc>
        <w:tc>
          <w:tcPr>
            <w:tcW w:type="dxa" w:w="4320"/>
            <w:vAlign w:val="top"/>
          </w:tcPr>
          <w:p>
            <w:r/>
            <w:r>
              <w:rPr>
                <w:b w:val="0"/>
                <w:sz w:val="17"/>
              </w:rPr>
              <w:t>Small first recommendation</w:t>
            </w:r>
          </w:p>
        </w:tc>
      </w:tr>
      <w:tr>
        <w:tc>
          <w:tcPr>
            <w:tcW w:type="dxa" w:w="3816"/>
            <w:vAlign w:val="top"/>
          </w:tcPr>
          <w:p>
            <w:r/>
            <w:r>
              <w:rPr>
                <w:b w:val="0"/>
                <w:sz w:val="17"/>
              </w:rPr>
              <w:t>max_signal_age_seconds</w:t>
            </w:r>
          </w:p>
        </w:tc>
        <w:tc>
          <w:tcPr>
            <w:tcW w:type="dxa" w:w="1440"/>
            <w:vAlign w:val="top"/>
          </w:tcPr>
          <w:p>
            <w:r/>
            <w:r>
              <w:rPr>
                <w:b w:val="0"/>
                <w:sz w:val="17"/>
              </w:rPr>
              <w:t>2</w:t>
            </w:r>
          </w:p>
        </w:tc>
        <w:tc>
          <w:tcPr>
            <w:tcW w:type="dxa" w:w="4320"/>
            <w:vAlign w:val="top"/>
          </w:tcPr>
          <w:p>
            <w:r/>
            <w:r>
              <w:rPr>
                <w:b w:val="0"/>
                <w:sz w:val="17"/>
              </w:rPr>
              <w:t>Freshness gate</w:t>
            </w:r>
          </w:p>
        </w:tc>
      </w:tr>
      <w:tr>
        <w:tc>
          <w:tcPr>
            <w:tcW w:type="dxa" w:w="3816"/>
            <w:vAlign w:val="top"/>
          </w:tcPr>
          <w:p>
            <w:r/>
            <w:r>
              <w:rPr>
                <w:b w:val="0"/>
                <w:sz w:val="17"/>
              </w:rPr>
              <w:t>min_conservative_profit_base</w:t>
            </w:r>
          </w:p>
        </w:tc>
        <w:tc>
          <w:tcPr>
            <w:tcW w:type="dxa" w:w="1440"/>
            <w:vAlign w:val="top"/>
          </w:tcPr>
          <w:p>
            <w:r/>
            <w:r>
              <w:rPr>
                <w:b w:val="0"/>
                <w:sz w:val="17"/>
              </w:rPr>
              <w:t>0.001</w:t>
            </w:r>
          </w:p>
        </w:tc>
        <w:tc>
          <w:tcPr>
            <w:tcW w:type="dxa" w:w="4320"/>
            <w:vAlign w:val="top"/>
          </w:tcPr>
          <w:p>
            <w:r/>
            <w:r>
              <w:rPr>
                <w:b w:val="0"/>
                <w:sz w:val="17"/>
              </w:rPr>
              <w:t>Minimum post-haircut/cost profit</w:t>
            </w:r>
          </w:p>
        </w:tc>
      </w:tr>
      <w:tr>
        <w:tc>
          <w:tcPr>
            <w:tcW w:type="dxa" w:w="3816"/>
            <w:vAlign w:val="top"/>
          </w:tcPr>
          <w:p>
            <w:r/>
            <w:r>
              <w:rPr>
                <w:b w:val="0"/>
                <w:sz w:val="17"/>
              </w:rPr>
              <w:t>require_simulation</w:t>
            </w:r>
          </w:p>
        </w:tc>
        <w:tc>
          <w:tcPr>
            <w:tcW w:type="dxa" w:w="1440"/>
            <w:vAlign w:val="top"/>
          </w:tcPr>
          <w:p>
            <w:r/>
            <w:r>
              <w:rPr>
                <w:b w:val="0"/>
                <w:sz w:val="17"/>
              </w:rPr>
              <w:t>true</w:t>
            </w:r>
          </w:p>
        </w:tc>
        <w:tc>
          <w:tcPr>
            <w:tcW w:type="dxa" w:w="4320"/>
            <w:vAlign w:val="top"/>
          </w:tcPr>
          <w:p>
            <w:r/>
            <w:r>
              <w:rPr>
                <w:b w:val="0"/>
                <w:sz w:val="17"/>
              </w:rPr>
              <w:t>No IN without current simulation</w:t>
            </w:r>
          </w:p>
        </w:tc>
      </w:tr>
      <w:tr>
        <w:tc>
          <w:tcPr>
            <w:tcW w:type="dxa" w:w="3816"/>
            <w:vAlign w:val="top"/>
          </w:tcPr>
          <w:p>
            <w:r/>
            <w:r>
              <w:rPr>
                <w:b w:val="0"/>
                <w:sz w:val="17"/>
              </w:rPr>
              <w:t>require_atomic_profit_protection</w:t>
            </w:r>
          </w:p>
        </w:tc>
        <w:tc>
          <w:tcPr>
            <w:tcW w:type="dxa" w:w="1440"/>
            <w:vAlign w:val="top"/>
          </w:tcPr>
          <w:p>
            <w:r/>
            <w:r>
              <w:rPr>
                <w:b w:val="0"/>
                <w:sz w:val="17"/>
              </w:rPr>
              <w:t>true</w:t>
            </w:r>
          </w:p>
        </w:tc>
        <w:tc>
          <w:tcPr>
            <w:tcW w:type="dxa" w:w="4320"/>
            <w:vAlign w:val="top"/>
          </w:tcPr>
          <w:p>
            <w:r/>
            <w:r>
              <w:rPr>
                <w:b w:val="0"/>
                <w:sz w:val="17"/>
              </w:rPr>
              <w:t>No IN unless execution layer protects final balance</w:t>
            </w:r>
          </w:p>
        </w:tc>
      </w:tr>
    </w:tbl>
    <w:p/>
    <w:p>
      <w:pPr>
        <w:pStyle w:val="Heading2"/>
      </w:pPr>
      <w:r>
        <w:t>9.2 live_opportunities.csv</w:t>
      </w:r>
    </w:p>
    <w:p>
      <w:r>
        <w:t>This file is the boundary between the learning bot and a future live exact-quote/simulation scanner. It is intentionally empty in the package. The learner refuses to invent a current IN signal when no live feed exists.</w:t>
      </w:r>
    </w:p>
    <w:tbl>
      <w:tblPr>
        <w:tblStyle w:val="TableGrid"/>
        <w:tblW w:type="auto" w:w="0"/>
        <w:jc w:val="center"/>
        <w:tblLook w:firstColumn="1" w:firstRow="1" w:lastColumn="0" w:lastRow="0" w:noHBand="0" w:noVBand="1" w:val="04A0"/>
      </w:tblPr>
      <w:tblGrid>
        <w:gridCol w:w="5040"/>
        <w:gridCol w:w="5040"/>
      </w:tblGrid>
      <w:tr>
        <w:tc>
          <w:tcPr>
            <w:tcW w:type="dxa" w:w="4320"/>
            <w:shd w:fill="D9EAF7"/>
            <w:vAlign w:val="center"/>
          </w:tcPr>
          <w:p>
            <w:r/>
            <w:r>
              <w:rPr>
                <w:b/>
                <w:sz w:val="17"/>
              </w:rPr>
              <w:t>Key field</w:t>
            </w:r>
          </w:p>
        </w:tc>
        <w:tc>
          <w:tcPr>
            <w:tcW w:type="dxa" w:w="5328"/>
            <w:shd w:fill="D9EAF7"/>
            <w:vAlign w:val="center"/>
          </w:tcPr>
          <w:p>
            <w:r/>
            <w:r>
              <w:rPr>
                <w:b/>
                <w:sz w:val="17"/>
              </w:rPr>
              <w:t>Meaning</w:t>
            </w:r>
          </w:p>
        </w:tc>
      </w:tr>
      <w:tr>
        <w:tc>
          <w:tcPr>
            <w:tcW w:type="dxa" w:w="4320"/>
            <w:vAlign w:val="top"/>
          </w:tcPr>
          <w:p>
            <w:r/>
            <w:r>
              <w:rPr>
                <w:b w:val="0"/>
                <w:sz w:val="17"/>
              </w:rPr>
              <w:t>chain_id / wallet / behaviour</w:t>
            </w:r>
          </w:p>
        </w:tc>
        <w:tc>
          <w:tcPr>
            <w:tcW w:type="dxa" w:w="5328"/>
            <w:vAlign w:val="top"/>
          </w:tcPr>
          <w:p>
            <w:r/>
            <w:r>
              <w:rPr>
                <w:b w:val="0"/>
                <w:sz w:val="17"/>
              </w:rPr>
              <w:t>Which approved source and chain the opportunity relates to</w:t>
            </w:r>
          </w:p>
        </w:tc>
      </w:tr>
      <w:tr>
        <w:tc>
          <w:tcPr>
            <w:tcW w:type="dxa" w:w="4320"/>
            <w:vAlign w:val="top"/>
          </w:tcPr>
          <w:p>
            <w:r/>
            <w:r>
              <w:rPr>
                <w:b w:val="0"/>
                <w:sz w:val="17"/>
              </w:rPr>
              <w:t>observed_at_epoch</w:t>
            </w:r>
          </w:p>
        </w:tc>
        <w:tc>
          <w:tcPr>
            <w:tcW w:type="dxa" w:w="5328"/>
            <w:vAlign w:val="top"/>
          </w:tcPr>
          <w:p>
            <w:r/>
            <w:r>
              <w:rPr>
                <w:b w:val="0"/>
                <w:sz w:val="17"/>
              </w:rPr>
              <w:t>Freshness clock</w:t>
            </w:r>
          </w:p>
        </w:tc>
      </w:tr>
      <w:tr>
        <w:tc>
          <w:tcPr>
            <w:tcW w:type="dxa" w:w="4320"/>
            <w:vAlign w:val="top"/>
          </w:tcPr>
          <w:p>
            <w:r/>
            <w:r>
              <w:rPr>
                <w:b w:val="0"/>
                <w:sz w:val="17"/>
              </w:rPr>
              <w:t>source_input_base</w:t>
            </w:r>
          </w:p>
        </w:tc>
        <w:tc>
          <w:tcPr>
            <w:tcW w:type="dxa" w:w="5328"/>
            <w:vAlign w:val="top"/>
          </w:tcPr>
          <w:p>
            <w:r/>
            <w:r>
              <w:rPr>
                <w:b w:val="0"/>
                <w:sz w:val="17"/>
              </w:rPr>
              <w:t>Observed/source sizing reference</w:t>
            </w:r>
          </w:p>
        </w:tc>
      </w:tr>
      <w:tr>
        <w:tc>
          <w:tcPr>
            <w:tcW w:type="dxa" w:w="4320"/>
            <w:vAlign w:val="top"/>
          </w:tcPr>
          <w:p>
            <w:r/>
            <w:r>
              <w:rPr>
                <w:b w:val="0"/>
                <w:sz w:val="17"/>
              </w:rPr>
              <w:t>expected_gross_profit_base</w:t>
            </w:r>
          </w:p>
        </w:tc>
        <w:tc>
          <w:tcPr>
            <w:tcW w:type="dxa" w:w="5328"/>
            <w:vAlign w:val="top"/>
          </w:tcPr>
          <w:p>
            <w:r/>
            <w:r>
              <w:rPr>
                <w:b w:val="0"/>
                <w:sz w:val="17"/>
              </w:rPr>
              <w:t>Current gross edge from the independent scanner</w:t>
            </w:r>
          </w:p>
        </w:tc>
      </w:tr>
      <w:tr>
        <w:tc>
          <w:tcPr>
            <w:tcW w:type="dxa" w:w="4320"/>
            <w:vAlign w:val="top"/>
          </w:tcPr>
          <w:p>
            <w:r/>
            <w:r>
              <w:rPr>
                <w:b w:val="0"/>
                <w:sz w:val="17"/>
              </w:rPr>
              <w:t>estimated_gas_base</w:t>
            </w:r>
          </w:p>
        </w:tc>
        <w:tc>
          <w:tcPr>
            <w:tcW w:type="dxa" w:w="5328"/>
            <w:vAlign w:val="top"/>
          </w:tcPr>
          <w:p>
            <w:r/>
            <w:r>
              <w:rPr>
                <w:b w:val="0"/>
                <w:sz w:val="17"/>
              </w:rPr>
              <w:t>Follower gas cost</w:t>
            </w:r>
          </w:p>
        </w:tc>
      </w:tr>
      <w:tr>
        <w:tc>
          <w:tcPr>
            <w:tcW w:type="dxa" w:w="4320"/>
            <w:vAlign w:val="top"/>
          </w:tcPr>
          <w:p>
            <w:r/>
            <w:r>
              <w:rPr>
                <w:b w:val="0"/>
                <w:sz w:val="17"/>
              </w:rPr>
              <w:t>builder_fee_base</w:t>
            </w:r>
          </w:p>
        </w:tc>
        <w:tc>
          <w:tcPr>
            <w:tcW w:type="dxa" w:w="5328"/>
            <w:vAlign w:val="top"/>
          </w:tcPr>
          <w:p>
            <w:r/>
            <w:r>
              <w:rPr>
                <w:b w:val="0"/>
                <w:sz w:val="17"/>
              </w:rPr>
              <w:t>Follower builder/private-routing cost</w:t>
            </w:r>
          </w:p>
        </w:tc>
      </w:tr>
      <w:tr>
        <w:tc>
          <w:tcPr>
            <w:tcW w:type="dxa" w:w="4320"/>
            <w:vAlign w:val="top"/>
          </w:tcPr>
          <w:p>
            <w:r/>
            <w:r>
              <w:rPr>
                <w:b w:val="0"/>
                <w:sz w:val="17"/>
              </w:rPr>
              <w:t>slippage_reserve_base</w:t>
            </w:r>
          </w:p>
        </w:tc>
        <w:tc>
          <w:tcPr>
            <w:tcW w:type="dxa" w:w="5328"/>
            <w:vAlign w:val="top"/>
          </w:tcPr>
          <w:p>
            <w:r/>
            <w:r>
              <w:rPr>
                <w:b w:val="0"/>
                <w:sz w:val="17"/>
              </w:rPr>
              <w:t>Safety margin</w:t>
            </w:r>
          </w:p>
        </w:tc>
      </w:tr>
      <w:tr>
        <w:tc>
          <w:tcPr>
            <w:tcW w:type="dxa" w:w="4320"/>
            <w:vAlign w:val="top"/>
          </w:tcPr>
          <w:p>
            <w:r/>
            <w:r>
              <w:rPr>
                <w:b w:val="0"/>
                <w:sz w:val="17"/>
              </w:rPr>
              <w:t>source_verified / exact_quote_ok / simulation_ok</w:t>
            </w:r>
          </w:p>
        </w:tc>
        <w:tc>
          <w:tcPr>
            <w:tcW w:type="dxa" w:w="5328"/>
            <w:vAlign w:val="top"/>
          </w:tcPr>
          <w:p>
            <w:r/>
            <w:r>
              <w:rPr>
                <w:b w:val="0"/>
                <w:sz w:val="17"/>
              </w:rPr>
              <w:t>Core evidence gates</w:t>
            </w:r>
          </w:p>
        </w:tc>
      </w:tr>
      <w:tr>
        <w:tc>
          <w:tcPr>
            <w:tcW w:type="dxa" w:w="4320"/>
            <w:vAlign w:val="top"/>
          </w:tcPr>
          <w:p>
            <w:r/>
            <w:r>
              <w:rPr>
                <w:b w:val="0"/>
                <w:sz w:val="17"/>
              </w:rPr>
              <w:t>liquidity_ok / sellability_ok</w:t>
            </w:r>
          </w:p>
        </w:tc>
        <w:tc>
          <w:tcPr>
            <w:tcW w:type="dxa" w:w="5328"/>
            <w:vAlign w:val="top"/>
          </w:tcPr>
          <w:p>
            <w:r/>
            <w:r>
              <w:rPr>
                <w:b w:val="0"/>
                <w:sz w:val="17"/>
              </w:rPr>
              <w:t>Market safety checks</w:t>
            </w:r>
          </w:p>
        </w:tc>
      </w:tr>
      <w:tr>
        <w:tc>
          <w:tcPr>
            <w:tcW w:type="dxa" w:w="4320"/>
            <w:vAlign w:val="top"/>
          </w:tcPr>
          <w:p>
            <w:r/>
            <w:r>
              <w:rPr>
                <w:b w:val="0"/>
                <w:sz w:val="17"/>
              </w:rPr>
              <w:t>route_approved / whole_route_approved</w:t>
            </w:r>
          </w:p>
        </w:tc>
        <w:tc>
          <w:tcPr>
            <w:tcW w:type="dxa" w:w="5328"/>
            <w:vAlign w:val="top"/>
          </w:tcPr>
          <w:p>
            <w:r/>
            <w:r>
              <w:rPr>
                <w:b w:val="0"/>
                <w:sz w:val="17"/>
              </w:rPr>
              <w:t>Policy checks</w:t>
            </w:r>
          </w:p>
        </w:tc>
      </w:tr>
      <w:tr>
        <w:tc>
          <w:tcPr>
            <w:tcW w:type="dxa" w:w="4320"/>
            <w:vAlign w:val="top"/>
          </w:tcPr>
          <w:p>
            <w:r/>
            <w:r>
              <w:rPr>
                <w:b w:val="0"/>
                <w:sz w:val="17"/>
              </w:rPr>
              <w:t>atomic_profit_protection</w:t>
            </w:r>
          </w:p>
        </w:tc>
        <w:tc>
          <w:tcPr>
            <w:tcW w:type="dxa" w:w="5328"/>
            <w:vAlign w:val="top"/>
          </w:tcPr>
          <w:p>
            <w:r/>
            <w:r>
              <w:rPr>
                <w:b w:val="0"/>
                <w:sz w:val="17"/>
              </w:rPr>
              <w:t>Execution-layer final-balance protection</w:t>
            </w:r>
          </w:p>
        </w:tc>
      </w:tr>
      <w:tr>
        <w:tc>
          <w:tcPr>
            <w:tcW w:type="dxa" w:w="4320"/>
            <w:vAlign w:val="top"/>
          </w:tcPr>
          <w:p>
            <w:r/>
            <w:r>
              <w:rPr>
                <w:b w:val="0"/>
                <w:sz w:val="17"/>
              </w:rPr>
              <w:t>canary_complete</w:t>
            </w:r>
          </w:p>
        </w:tc>
        <w:tc>
          <w:tcPr>
            <w:tcW w:type="dxa" w:w="5328"/>
            <w:vAlign w:val="top"/>
          </w:tcPr>
          <w:p>
            <w:r/>
            <w:r>
              <w:rPr>
                <w:b w:val="0"/>
                <w:sz w:val="17"/>
              </w:rPr>
              <w:t>Whether the small canary phase is complete</w:t>
            </w:r>
          </w:p>
        </w:tc>
      </w:tr>
    </w:tbl>
    <w:p/>
    <w:p>
      <w:pPr>
        <w:pStyle w:val="Heading1"/>
      </w:pPr>
      <w:r>
        <w:t>10. Telegram</w:t>
      </w:r>
    </w:p>
    <w:p>
      <w:r>
        <w:t>New commands:</w:t>
      </w:r>
    </w:p>
    <w:tbl>
      <w:tblPr>
        <w:tblStyle w:val="TableGrid"/>
        <w:tblW w:type="auto" w:w="0"/>
        <w:jc w:val="center"/>
        <w:tblLook w:firstColumn="1" w:firstRow="1" w:lastColumn="0" w:lastRow="0" w:noHBand="0" w:noVBand="1" w:val="04A0"/>
      </w:tblPr>
      <w:tblGrid>
        <w:gridCol w:w="10080"/>
      </w:tblGrid>
      <w:tr>
        <w:tc>
          <w:tcPr>
            <w:tcW w:type="dxa" w:w="10080"/>
            <w:shd w:fill="F3F5F7"/>
          </w:tcPr>
          <w:p>
            <w:pPr>
              <w:spacing w:after="0"/>
            </w:pPr>
            <w:r/>
            <w:r>
              <w:rPr>
                <w:rFonts w:ascii="Consolas" w:hAnsi="Consolas"/>
                <w:sz w:val="16"/>
              </w:rPr>
              <w:t>/copy20    → Top 20 approved copy-research wallets</w:t>
            </w:r>
            <w:r>
              <w:br/>
            </w:r>
            <w:r>
              <w:rPr>
                <w:rFonts w:ascii="Consolas" w:hAnsi="Consolas"/>
                <w:sz w:val="16"/>
              </w:rPr>
              <w:t>/signals   → Current advisory IN / OUT / SKIP recommendations</w:t>
            </w:r>
            <w:r>
              <w:br/>
            </w:r>
            <w:r>
              <w:rPr>
                <w:rFonts w:ascii="Consolas" w:hAnsi="Consolas"/>
                <w:sz w:val="16"/>
              </w:rPr>
              <w:t>/menu      → Interactive menu</w:t>
            </w:r>
            <w:r>
              <w:br/>
            </w:r>
            <w:r>
              <w:rPr>
                <w:rFonts w:ascii="Consolas" w:hAnsi="Consolas"/>
                <w:sz w:val="16"/>
              </w:rPr>
              <w:t>/rankings  → Highest and fastest historical behaviours</w:t>
            </w:r>
            <w:r>
              <w:br/>
            </w:r>
            <w:r>
              <w:rPr>
                <w:rFonts w:ascii="Consolas" w:hAnsi="Consolas"/>
                <w:sz w:val="16"/>
              </w:rPr>
              <w:t>/behaviours</w:t>
            </w:r>
            <w:r>
              <w:br/>
            </w:r>
            <w:r>
              <w:rPr>
                <w:rFonts w:ascii="Consolas" w:hAnsi="Consolas"/>
                <w:sz w:val="16"/>
              </w:rPr>
              <w:t>/strategies</w:t>
            </w:r>
            <w:r>
              <w:br/>
            </w:r>
            <w:r>
              <w:rPr>
                <w:rFonts w:ascii="Consolas" w:hAnsi="Consolas"/>
                <w:sz w:val="16"/>
              </w:rPr>
              <w:t>/profit</w:t>
            </w:r>
            <w:r>
              <w:br/>
            </w:r>
            <w:r>
              <w:rPr>
                <w:rFonts w:ascii="Consolas" w:hAnsi="Consolas"/>
                <w:sz w:val="16"/>
              </w:rPr>
              <w:t>/status</w:t>
            </w:r>
          </w:p>
        </w:tc>
      </w:tr>
    </w:tbl>
    <w:p/>
    <w:p>
      <w:r>
        <w:t>Example Top-20 entry:</w:t>
      </w:r>
    </w:p>
    <w:tbl>
      <w:tblPr>
        <w:tblStyle w:val="TableGrid"/>
        <w:tblW w:type="auto" w:w="0"/>
        <w:jc w:val="center"/>
        <w:tblLook w:firstColumn="1" w:firstRow="1" w:lastColumn="0" w:lastRow="0" w:noHBand="0" w:noVBand="1" w:val="04A0"/>
      </w:tblPr>
      <w:tblGrid>
        <w:gridCol w:w="10080"/>
      </w:tblGrid>
      <w:tr>
        <w:tc>
          <w:tcPr>
            <w:tcW w:type="dxa" w:w="10080"/>
            <w:shd w:fill="F3F5F7"/>
          </w:tcPr>
          <w:p>
            <w:pPr>
              <w:spacing w:after="0"/>
            </w:pPr>
            <w:r/>
            <w:r>
              <w:rPr>
                <w:rFonts w:ascii="Consolas" w:hAnsi="Consolas"/>
                <w:sz w:val="16"/>
              </w:rPr>
              <w:t>#1 BSC  0x1234…abcd</w:t>
            </w:r>
            <w:r>
              <w:br/>
            </w:r>
            <w:r>
              <w:rPr>
                <w:rFonts w:ascii="Consolas" w:hAnsi="Consolas"/>
                <w:sz w:val="16"/>
              </w:rPr>
              <w:t>Behaviour: Two-asset arbitrage</w:t>
            </w:r>
            <w:r>
              <w:br/>
            </w:r>
            <w:r>
              <w:rPr>
                <w:rFonts w:ascii="Consolas" w:hAnsi="Consolas"/>
                <w:sz w:val="16"/>
              </w:rPr>
              <w:t>Copy score: 88.4 / 100</w:t>
            </w:r>
            <w:r>
              <w:br/>
            </w:r>
            <w:r>
              <w:rPr>
                <w:rFonts w:ascii="Consolas" w:hAnsi="Consolas"/>
                <w:sz w:val="16"/>
              </w:rPr>
              <w:t>Closed cycles: 164</w:t>
            </w:r>
            <w:r>
              <w:br/>
            </w:r>
            <w:r>
              <w:rPr>
                <w:rFonts w:ascii="Consolas" w:hAnsi="Consolas"/>
                <w:sz w:val="16"/>
              </w:rPr>
              <w:t>Positive: 91.5%</w:t>
            </w:r>
            <w:r>
              <w:br/>
            </w:r>
            <w:r>
              <w:rPr>
                <w:rFonts w:ascii="Consolas" w:hAnsi="Consolas"/>
                <w:sz w:val="16"/>
              </w:rPr>
              <w:t>Historical net: +2.14 WBNB</w:t>
            </w:r>
            <w:r>
              <w:br/>
            </w:r>
            <w:r>
              <w:rPr>
                <w:rFonts w:ascii="Consolas" w:hAnsi="Consolas"/>
                <w:sz w:val="16"/>
              </w:rPr>
              <w:t>Observed speed: +0.12 WBNB/hour</w:t>
            </w:r>
            <w:r>
              <w:br/>
            </w:r>
            <w:r>
              <w:rPr>
                <w:rFonts w:ascii="Consolas" w:hAnsi="Consolas"/>
                <w:sz w:val="16"/>
              </w:rPr>
              <w:t>Copy status: 🟢 IN for SHADOW / strategy learning</w:t>
            </w:r>
          </w:p>
        </w:tc>
      </w:tr>
    </w:tbl>
    <w:p/>
    <w:p>
      <w:r>
        <w:t>Example live recommendation:</w:t>
      </w:r>
    </w:p>
    <w:tbl>
      <w:tblPr>
        <w:tblStyle w:val="TableGrid"/>
        <w:tblW w:type="auto" w:w="0"/>
        <w:jc w:val="center"/>
        <w:tblLook w:firstColumn="1" w:firstRow="1" w:lastColumn="0" w:lastRow="0" w:noHBand="0" w:noVBand="1" w:val="04A0"/>
      </w:tblPr>
      <w:tblGrid>
        <w:gridCol w:w="10080"/>
      </w:tblGrid>
      <w:tr>
        <w:tc>
          <w:tcPr>
            <w:tcW w:type="dxa" w:w="10080"/>
            <w:shd w:fill="F3F5F7"/>
          </w:tcPr>
          <w:p>
            <w:pPr>
              <w:spacing w:after="0"/>
            </w:pPr>
            <w:r/>
            <w:r>
              <w:rPr>
                <w:rFonts w:ascii="Consolas" w:hAnsi="Consolas"/>
                <w:sz w:val="16"/>
              </w:rPr>
              <w:t>🟢 IN — BSC</w:t>
            </w:r>
            <w:r>
              <w:br/>
            </w:r>
            <w:r>
              <w:rPr>
                <w:rFonts w:ascii="Consolas" w:hAnsi="Consolas"/>
                <w:sz w:val="16"/>
              </w:rPr>
              <w:t>Wallet: 0x1234…abcd</w:t>
            </w:r>
            <w:r>
              <w:br/>
            </w:r>
            <w:r>
              <w:rPr>
                <w:rFonts w:ascii="Consolas" w:hAnsi="Consolas"/>
                <w:sz w:val="16"/>
              </w:rPr>
              <w:t>Route: R-27</w:t>
            </w:r>
            <w:r>
              <w:br/>
            </w:r>
            <w:r>
              <w:rPr>
                <w:rFonts w:ascii="Consolas" w:hAnsi="Consolas"/>
                <w:sz w:val="16"/>
              </w:rPr>
              <w:t>Recommended input: 0.050 WBNB</w:t>
            </w:r>
            <w:r>
              <w:br/>
            </w:r>
            <w:r>
              <w:rPr>
                <w:rFonts w:ascii="Consolas" w:hAnsi="Consolas"/>
                <w:sz w:val="16"/>
              </w:rPr>
              <w:t>Conservative net: +0.007 WBNB</w:t>
            </w:r>
            <w:r>
              <w:br/>
            </w:r>
            <w:r>
              <w:rPr>
                <w:rFonts w:ascii="Consolas" w:hAnsi="Consolas"/>
                <w:sz w:val="16"/>
              </w:rPr>
              <w:t>Checks: 12 passed / 0 failed</w:t>
            </w:r>
            <w:r>
              <w:br/>
            </w:r>
            <w:r>
              <w:rPr>
                <w:rFonts w:ascii="Consolas" w:hAnsi="Consolas"/>
                <w:sz w:val="16"/>
              </w:rPr>
              <w:t>Mode: SHADOW / advisory</w:t>
            </w:r>
          </w:p>
        </w:tc>
      </w:tr>
    </w:tbl>
    <w:p/>
    <w:p>
      <w:pPr>
        <w:pStyle w:val="Heading1"/>
      </w:pPr>
      <w:r>
        <w:t>11. Installation / Upgrade from v1.5</w:t>
      </w:r>
    </w:p>
    <w:p>
      <w:pPr>
        <w:pStyle w:val="ListNumber"/>
        <w:spacing w:after="40"/>
      </w:pPr>
      <w:r>
        <w:t>Upload multichain-learning-bot-v1.6-final.zip to /root.</w:t>
      </w:r>
    </w:p>
    <w:p>
      <w:pPr>
        <w:pStyle w:val="ListNumber"/>
        <w:spacing w:after="40"/>
      </w:pPr>
      <w:r>
        <w:t>Unzip it and enter the folder.</w:t>
      </w:r>
    </w:p>
    <w:p>
      <w:pPr>
        <w:pStyle w:val="ListNumber"/>
        <w:spacing w:after="40"/>
      </w:pPr>
      <w:r>
        <w:t>Run the supplied upgrade_from_v15.sh script.</w:t>
      </w:r>
    </w:p>
    <w:p>
      <w:pPr>
        <w:pStyle w:val="ListNumber"/>
        <w:spacing w:after="40"/>
      </w:pPr>
      <w:r>
        <w:t>Confirm the systemd service reports Active: active (running).</w:t>
      </w:r>
    </w:p>
    <w:p>
      <w:pPr>
        <w:pStyle w:val="ListNumber"/>
        <w:spacing w:after="40"/>
      </w:pPr>
      <w:r>
        <w:t>Check new logs and use /copy20 in Telegram.</w:t>
      </w:r>
    </w:p>
    <w:tbl>
      <w:tblPr>
        <w:tblStyle w:val="TableGrid"/>
        <w:tblW w:type="auto" w:w="0"/>
        <w:jc w:val="center"/>
        <w:tblLook w:firstColumn="1" w:firstRow="1" w:lastColumn="0" w:lastRow="0" w:noHBand="0" w:noVBand="1" w:val="04A0"/>
      </w:tblPr>
      <w:tblGrid>
        <w:gridCol w:w="10080"/>
      </w:tblGrid>
      <w:tr>
        <w:tc>
          <w:tcPr>
            <w:tcW w:type="dxa" w:w="10080"/>
            <w:shd w:fill="F3F5F7"/>
          </w:tcPr>
          <w:p>
            <w:pPr>
              <w:spacing w:after="0"/>
            </w:pPr>
            <w:r/>
            <w:r>
              <w:rPr>
                <w:rFonts w:ascii="Consolas" w:hAnsi="Consolas"/>
                <w:sz w:val="16"/>
              </w:rPr>
              <w:t>cd /root</w:t>
            </w:r>
            <w:r>
              <w:br/>
            </w:r>
            <w:r>
              <w:rPr>
                <w:rFonts w:ascii="Consolas" w:hAnsi="Consolas"/>
                <w:sz w:val="16"/>
              </w:rPr>
              <w:t>unzip -o multichain-learning-bot-v1.6-final.zip</w:t>
            </w:r>
            <w:r>
              <w:br/>
            </w:r>
            <w:r>
              <w:rPr>
                <w:rFonts w:ascii="Consolas" w:hAnsi="Consolas"/>
                <w:sz w:val="16"/>
              </w:rPr>
              <w:t>cd /root/multichain-learning-bot-v1.6-final</w:t>
            </w:r>
            <w:r>
              <w:br/>
            </w:r>
            <w:r>
              <w:rPr>
                <w:rFonts w:ascii="Consolas" w:hAnsi="Consolas"/>
                <w:sz w:val="16"/>
              </w:rPr>
              <w:t>bash upgrade_from_v15.sh</w:t>
            </w:r>
            <w:r>
              <w:br/>
            </w:r>
            <w:r>
              <w:rPr>
                <w:rFonts w:ascii="Consolas" w:hAnsi="Consolas"/>
                <w:sz w:val="16"/>
              </w:rPr>
              <w:t>systemctl status learnerbot --no-pager</w:t>
            </w:r>
            <w:r>
              <w:br/>
            </w:r>
            <w:r>
              <w:rPr>
                <w:rFonts w:ascii="Consolas" w:hAnsi="Consolas"/>
                <w:sz w:val="16"/>
              </w:rPr>
              <w:t>journalctl -u learnerbot -n 100 --no-pager</w:t>
            </w:r>
          </w:p>
        </w:tc>
      </w:tr>
    </w:tbl>
    <w:p/>
    <w:p>
      <w:pPr>
        <w:pStyle w:val="Heading1"/>
      </w:pPr>
      <w:r>
        <w:t>12. Operating Workflow</w:t>
      </w:r>
    </w:p>
    <w:tbl>
      <w:tblPr>
        <w:tblStyle w:val="TableGrid"/>
        <w:tblW w:type="auto" w:w="0"/>
        <w:jc w:val="center"/>
        <w:tblLook w:firstColumn="1" w:firstRow="1" w:lastColumn="0" w:lastRow="0" w:noHBand="0" w:noVBand="1" w:val="04A0"/>
      </w:tblPr>
      <w:tblGrid>
        <w:gridCol w:w="10080"/>
      </w:tblGrid>
      <w:tr>
        <w:tc>
          <w:tcPr>
            <w:tcW w:type="dxa" w:w="10080"/>
            <w:shd w:fill="F3F5F7"/>
          </w:tcPr>
          <w:p>
            <w:pPr>
              <w:spacing w:after="0"/>
            </w:pPr>
            <w:r/>
            <w:r>
              <w:rPr>
                <w:rFonts w:ascii="Consolas" w:hAnsi="Consolas"/>
                <w:sz w:val="16"/>
              </w:rPr>
              <w:t>1. Scan enabled chains</w:t>
            </w:r>
            <w:r>
              <w:br/>
            </w:r>
            <w:r>
              <w:rPr>
                <w:rFonts w:ascii="Consolas" w:hAnsi="Consolas"/>
                <w:sz w:val="16"/>
              </w:rPr>
              <w:t>2. Score wallets</w:t>
            </w:r>
            <w:r>
              <w:br/>
            </w:r>
            <w:r>
              <w:rPr>
                <w:rFonts w:ascii="Consolas" w:hAnsi="Consolas"/>
                <w:sz w:val="16"/>
              </w:rPr>
              <w:t>3. Reconstruct closed-cycle profit evidence</w:t>
            </w:r>
            <w:r>
              <w:br/>
            </w:r>
            <w:r>
              <w:rPr>
                <w:rFonts w:ascii="Consolas" w:hAnsi="Consolas"/>
                <w:sz w:val="16"/>
              </w:rPr>
              <w:t>4. Classify trade behaviour</w:t>
            </w:r>
            <w:r>
              <w:br/>
            </w:r>
            <w:r>
              <w:rPr>
                <w:rFonts w:ascii="Consolas" w:hAnsi="Consolas"/>
                <w:sz w:val="16"/>
              </w:rPr>
              <w:t>5. Rank behaviour profit / speed</w:t>
            </w:r>
            <w:r>
              <w:br/>
            </w:r>
            <w:r>
              <w:rPr>
                <w:rFonts w:ascii="Consolas" w:hAnsi="Consolas"/>
                <w:sz w:val="16"/>
              </w:rPr>
              <w:t>6. Apply copy qualification gates</w:t>
            </w:r>
            <w:r>
              <w:br/>
            </w:r>
            <w:r>
              <w:rPr>
                <w:rFonts w:ascii="Consolas" w:hAnsi="Consolas"/>
                <w:sz w:val="16"/>
              </w:rPr>
              <w:t>7. Keep maximum 20 approved wallets</w:t>
            </w:r>
            <w:r>
              <w:br/>
            </w:r>
            <w:r>
              <w:rPr>
                <w:rFonts w:ascii="Consolas" w:hAnsi="Consolas"/>
                <w:sz w:val="16"/>
              </w:rPr>
              <w:t>8. Learn their repeatable behaviour/templates</w:t>
            </w:r>
            <w:r>
              <w:br/>
            </w:r>
            <w:r>
              <w:rPr>
                <w:rFonts w:ascii="Consolas" w:hAnsi="Consolas"/>
                <w:sz w:val="16"/>
              </w:rPr>
              <w:t>9. Wait for independent current-market exact quote/simulation</w:t>
            </w:r>
            <w:r>
              <w:br/>
            </w:r>
            <w:r>
              <w:rPr>
                <w:rFonts w:ascii="Consolas" w:hAnsi="Consolas"/>
                <w:sz w:val="16"/>
              </w:rPr>
              <w:t>10. Apply follower size + edge haircuts</w:t>
            </w:r>
            <w:r>
              <w:br/>
            </w:r>
            <w:r>
              <w:rPr>
                <w:rFonts w:ascii="Consolas" w:hAnsi="Consolas"/>
                <w:sz w:val="16"/>
              </w:rPr>
              <w:t>11. Run all current risk/policy/economic gates</w:t>
            </w:r>
            <w:r>
              <w:br/>
            </w:r>
            <w:r>
              <w:rPr>
                <w:rFonts w:ascii="Consolas" w:hAnsi="Consolas"/>
                <w:sz w:val="16"/>
              </w:rPr>
              <w:t>12. Telegram recommendation:</w:t>
            </w:r>
            <w:r>
              <w:br/>
            </w:r>
            <w:r>
              <w:rPr>
                <w:rFonts w:ascii="Consolas" w:hAnsi="Consolas"/>
                <w:sz w:val="16"/>
              </w:rPr>
              <w:t xml:space="preserve">      IN   → every gate passed</w:t>
            </w:r>
            <w:r>
              <w:br/>
            </w:r>
            <w:r>
              <w:rPr>
                <w:rFonts w:ascii="Consolas" w:hAnsi="Consolas"/>
                <w:sz w:val="16"/>
              </w:rPr>
              <w:t xml:space="preserve">      OUT  → current gate failed / stale</w:t>
            </w:r>
            <w:r>
              <w:br/>
            </w:r>
            <w:r>
              <w:rPr>
                <w:rFonts w:ascii="Consolas" w:hAnsi="Consolas"/>
                <w:sz w:val="16"/>
              </w:rPr>
              <w:t xml:space="preserve">      SKIP → source not approved Top-20</w:t>
            </w:r>
            <w:r>
              <w:br/>
            </w:r>
            <w:r>
              <w:rPr>
                <w:rFonts w:ascii="Consolas" w:hAnsi="Consolas"/>
                <w:sz w:val="16"/>
              </w:rPr>
              <w:t>13. Future execution engine remains a separate controlled layer</w:t>
            </w:r>
          </w:p>
        </w:tc>
      </w:tr>
    </w:tbl>
    <w:p/>
    <w:p>
      <w:pPr>
        <w:pStyle w:val="Heading1"/>
      </w:pPr>
      <w:r>
        <w:t>13. Why the Learner Does Not Auto-Trade</w:t>
      </w:r>
    </w:p>
    <w:p>
      <w:r>
        <w:t>The current package intentionally separates research from execution. A compromised Telegram account or a bad wallet classification must not be enough to move capital. If live execution is added later, the recommended architecture is a restricted operator, approved routes, maximum input limits, current simulation and an atomic on-chain minimum-profit/final-balance check.</w:t>
      </w:r>
    </w:p>
    <w:p>
      <w:pPr>
        <w:pStyle w:val="ListBullet"/>
        <w:spacing w:after="40"/>
      </w:pPr>
      <w:r>
        <w:t>No private key is required by the learner.</w:t>
      </w:r>
    </w:p>
    <w:p>
      <w:pPr>
        <w:pStyle w:val="ListBullet"/>
        <w:spacing w:after="40"/>
      </w:pPr>
      <w:r>
        <w:t>Telegram never signs transactions.</w:t>
      </w:r>
    </w:p>
    <w:p>
      <w:pPr>
        <w:pStyle w:val="ListBullet"/>
        <w:spacing w:after="40"/>
      </w:pPr>
      <w:r>
        <w:t>A current IN recommendation is not a transaction submission.</w:t>
      </w:r>
    </w:p>
    <w:p>
      <w:pPr>
        <w:pStyle w:val="ListBullet"/>
        <w:spacing w:after="40"/>
      </w:pPr>
      <w:r>
        <w:t>The live execution layer should remain independently pausable.</w:t>
      </w:r>
    </w:p>
    <w:p>
      <w:pPr>
        <w:pStyle w:val="ListBullet"/>
        <w:spacing w:after="40"/>
      </w:pPr>
      <w:r>
        <w:t>A first live route should use canary sizing and be reconciled before limits increase.</w:t>
      </w:r>
    </w:p>
    <w:p>
      <w:pPr>
        <w:pStyle w:val="Heading1"/>
      </w:pPr>
      <w:r>
        <w:t>14. Limitations</w:t>
      </w:r>
    </w:p>
    <w:p>
      <w:pPr>
        <w:pStyle w:val="ListBullet"/>
        <w:spacing w:after="40"/>
      </w:pPr>
      <w:r>
        <w:t>Historical profitability does not guarantee future profitability.</w:t>
      </w:r>
    </w:p>
    <w:p>
      <w:pPr>
        <w:pStyle w:val="ListBullet"/>
        <w:spacing w:after="40"/>
      </w:pPr>
      <w:r>
        <w:t>Arbitrage may disappear before the follower can act because of latency, competition, price impact or builder ordering.</w:t>
      </w:r>
    </w:p>
    <w:p>
      <w:pPr>
        <w:pStyle w:val="ListBullet"/>
        <w:spacing w:after="40"/>
      </w:pPr>
      <w:r>
        <w:t>The default public RPC endpoints are suitable for development/testing but production-grade monitoring should use robust low-latency infrastructure and independent fallbacks.</w:t>
      </w:r>
    </w:p>
    <w:p>
      <w:pPr>
        <w:pStyle w:val="ListBullet"/>
        <w:spacing w:after="40"/>
      </w:pPr>
      <w:r>
        <w:t>Cross-chain native profits are not directly comparable without reliable price normalisation; v1.6 therefore uses threshold-normalised scores for the global Top-20.</w:t>
      </w:r>
    </w:p>
    <w:p>
      <w:pPr>
        <w:pStyle w:val="ListBullet"/>
        <w:spacing w:after="40"/>
      </w:pPr>
      <w:r>
        <w:t>Momentum, market-making, LP and liquidation behaviours require more protocol-specific reconstruction before they should be admitted to the default copy-eligible list.</w:t>
      </w:r>
    </w:p>
    <w:p>
      <w:pPr>
        <w:pStyle w:val="ListBullet"/>
        <w:spacing w:after="40"/>
      </w:pPr>
      <w:r>
        <w:t>The live_opportunities.csv feed must come from a current exact-quote/simulation scanner; an already-mined source transaction is not enough.</w:t>
      </w:r>
    </w:p>
    <w:p>
      <w:pPr>
        <w:pStyle w:val="Heading1"/>
      </w:pPr>
      <w:r>
        <w:t>15. Reference Control Framework</w:t>
      </w:r>
    </w:p>
    <w:p>
      <w:r>
        <w:t>The copy gates were aligned with the supplied Boot v2 Installation and Operations Guide. In particular, that guide requires exact quote, gas/reserve allowances, input cap, minimum profit, approved route/policy and atomic final-balance increase for live allocation; it also requires smallest-size canary releases and pausing on material mismatches.</w:t>
      </w:r>
    </w:p>
    <w:tbl>
      <w:tblPr>
        <w:tblStyle w:val="TableGrid"/>
        <w:tblW w:type="auto" w:w="0"/>
        <w:jc w:val="center"/>
        <w:tblLook w:firstColumn="1" w:firstRow="1" w:lastColumn="0" w:lastRow="0" w:noHBand="0" w:noVBand="1" w:val="04A0"/>
      </w:tblPr>
      <w:tblGrid>
        <w:gridCol w:w="5040"/>
        <w:gridCol w:w="5040"/>
      </w:tblGrid>
      <w:tr>
        <w:tc>
          <w:tcPr>
            <w:tcW w:type="dxa" w:w="4608"/>
            <w:shd w:fill="D9EAF7"/>
            <w:vAlign w:val="center"/>
          </w:tcPr>
          <w:p>
            <w:r/>
            <w:r>
              <w:rPr>
                <w:b/>
                <w:sz w:val="17"/>
              </w:rPr>
              <w:t>Reference</w:t>
            </w:r>
          </w:p>
        </w:tc>
        <w:tc>
          <w:tcPr>
            <w:tcW w:type="dxa" w:w="5040"/>
            <w:shd w:fill="D9EAF7"/>
            <w:vAlign w:val="center"/>
          </w:tcPr>
          <w:p>
            <w:r/>
            <w:r>
              <w:rPr>
                <w:b/>
                <w:sz w:val="17"/>
              </w:rPr>
              <w:t>Use in v1.6</w:t>
            </w:r>
          </w:p>
        </w:tc>
      </w:tr>
      <w:tr>
        <w:tc>
          <w:tcPr>
            <w:tcW w:type="dxa" w:w="4608"/>
            <w:vAlign w:val="top"/>
          </w:tcPr>
          <w:p>
            <w:r/>
            <w:r>
              <w:rPr>
                <w:b w:val="0"/>
                <w:sz w:val="17"/>
              </w:rPr>
              <w:t>Boot_v2_Installation_and_Operations_Guide.docx, sections 14 and 17</w:t>
            </w:r>
          </w:p>
        </w:tc>
        <w:tc>
          <w:tcPr>
            <w:tcW w:type="dxa" w:w="5040"/>
            <w:vAlign w:val="top"/>
          </w:tcPr>
          <w:p>
            <w:r/>
            <w:r>
              <w:rPr>
                <w:b w:val="0"/>
                <w:sz w:val="17"/>
              </w:rPr>
              <w:t>Route approval, security/liquidity/sellability boundary, exact quote, gas/reserves, input cap, minimum profit, atomic result, canary release and pause controls</w:t>
            </w:r>
          </w:p>
        </w:tc>
      </w:tr>
      <w:tr>
        <w:tc>
          <w:tcPr>
            <w:tcW w:type="dxa" w:w="4608"/>
            <w:vAlign w:val="top"/>
          </w:tcPr>
          <w:p>
            <w:r/>
            <w:r>
              <w:rPr>
                <w:b w:val="0"/>
                <w:sz w:val="17"/>
              </w:rPr>
              <w:t>BNB Chain BSC MEV User Guide, updated 29 May 2026</w:t>
            </w:r>
          </w:p>
        </w:tc>
        <w:tc>
          <w:tcPr>
            <w:tcW w:type="dxa" w:w="5040"/>
            <w:vAlign w:val="top"/>
          </w:tcPr>
          <w:p>
            <w:r/>
            <w:r>
              <w:rPr>
                <w:b w:val="0"/>
                <w:sz w:val="17"/>
              </w:rPr>
              <w:t>Private RPC/builder architecture can reduce public-mempool exposure and front-running risk for a future BSC execution layer</w:t>
            </w:r>
          </w:p>
        </w:tc>
      </w:tr>
      <w:tr>
        <w:tc>
          <w:tcPr>
            <w:tcW w:type="dxa" w:w="4608"/>
            <w:vAlign w:val="top"/>
          </w:tcPr>
          <w:p>
            <w:r/>
            <w:r>
              <w:rPr>
                <w:b w:val="0"/>
                <w:sz w:val="17"/>
              </w:rPr>
              <w:t>Base RPC / Flashblocks documentation</w:t>
            </w:r>
          </w:p>
        </w:tc>
        <w:tc>
          <w:tcPr>
            <w:tcW w:type="dxa" w:w="5040"/>
            <w:vAlign w:val="top"/>
          </w:tcPr>
          <w:p>
            <w:r/>
            <w:r>
              <w:rPr>
                <w:b w:val="0"/>
                <w:sz w:val="17"/>
              </w:rPr>
              <w:t>Pre-confirmed pending-state infrastructure can provide faster current-state data for a future Base opportunity scanner</w:t>
            </w:r>
          </w:p>
        </w:tc>
      </w:tr>
      <w:tr>
        <w:tc>
          <w:tcPr>
            <w:tcW w:type="dxa" w:w="4608"/>
            <w:vAlign w:val="top"/>
          </w:tcPr>
          <w:p>
            <w:r/>
            <w:r>
              <w:rPr>
                <w:b w:val="0"/>
                <w:sz w:val="17"/>
              </w:rPr>
              <w:t>FCA InvestSmart / crypto guidance, updated 2026</w:t>
            </w:r>
          </w:p>
        </w:tc>
        <w:tc>
          <w:tcPr>
            <w:tcW w:type="dxa" w:w="5040"/>
            <w:vAlign w:val="top"/>
          </w:tcPr>
          <w:p>
            <w:r/>
            <w:r>
              <w:rPr>
                <w:b w:val="0"/>
                <w:sz w:val="17"/>
              </w:rPr>
              <w:t>Crypto and high-risk investments can result in loss of all invested capital; no profitability claim should be made</w:t>
            </w:r>
          </w:p>
        </w:tc>
      </w:tr>
    </w:tbl>
    <w:p/>
    <w:p>
      <w:pPr>
        <w:pStyle w:val="Heading1"/>
      </w:pPr>
      <w:r>
        <w:t>16. Source Links for Continuing Review</w:t>
      </w:r>
    </w:p>
    <w:p>
      <w:pPr>
        <w:pStyle w:val="ListBullet"/>
        <w:spacing w:after="40"/>
      </w:pPr>
      <w:r>
        <w:t>BNB Chain BSC MEV User Guide: https://docs.bnbchain.org/bnb-smart-chain/validator/mev/user-guide/</w:t>
      </w:r>
    </w:p>
    <w:p>
      <w:pPr>
        <w:pStyle w:val="ListBullet"/>
        <w:spacing w:after="40"/>
      </w:pPr>
      <w:r>
        <w:t>Base RPC Overview: https://docs.base.org/base-chain/api-reference/rpc-overview</w:t>
      </w:r>
    </w:p>
    <w:p>
      <w:pPr>
        <w:pStyle w:val="ListBullet"/>
        <w:spacing w:after="40"/>
      </w:pPr>
      <w:r>
        <w:t>Base Flashblocks API Overview: https://docs.base.org/base-chain/api-reference/flashblocks-api/flashblocks-api-overview</w:t>
      </w:r>
    </w:p>
    <w:p>
      <w:pPr>
        <w:pStyle w:val="ListBullet"/>
        <w:spacing w:after="40"/>
      </w:pPr>
      <w:r>
        <w:t>FCA — Understanding high-risk investments: https://www.fca.org.uk/investsmart/understanding-high-risk-investments</w:t>
      </w:r>
    </w:p>
    <w:p>
      <w:pPr>
        <w:pStyle w:val="ListBullet"/>
        <w:spacing w:after="40"/>
      </w:pPr>
      <w:r>
        <w:t>FCA — Investing in crypto: https://www.fca.org.uk/investsmart/investing-crypto</w:t>
      </w:r>
    </w:p>
    <w:p>
      <w:pPr>
        <w:pStyle w:val="Heading1"/>
      </w:pPr>
      <w:r>
        <w:t>17. Final Operating Rule</w:t>
      </w:r>
    </w:p>
    <w:tbl>
      <w:tblPr>
        <w:tblStyle w:val="TableGrid"/>
        <w:tblW w:type="auto" w:w="0"/>
        <w:tblLook w:firstColumn="1" w:firstRow="1" w:lastColumn="0" w:lastRow="0" w:noHBand="0" w:noVBand="1" w:val="04A0"/>
      </w:tblPr>
      <w:tblGrid>
        <w:gridCol w:w="10080"/>
      </w:tblGrid>
      <w:tr>
        <w:tc>
          <w:tcPr>
            <w:tcW w:type="dxa" w:w="10080"/>
            <w:shd w:fill="E2F0D9"/>
          </w:tcPr>
          <w:p>
            <w:r/>
            <w:r>
              <w:rPr>
                <w:b/>
                <w:sz w:val="22"/>
              </w:rPr>
              <w:t>Top-20 PASS = learn and shadow. Current IN = all live gates passed after conservative follower haircut. OUT = stale or failed current gate. Execution, if later added, must remain a separate restricted layer with atomic profit protection.</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Controlled design guide • 11 August 2026 • Research / shadow-first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MULTI-CHAIN TOP-20 COPY BEHAVIOUR BOT v1.6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