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Innovations et Recommandations Stratégiques pour Archeritage.ma</w:t>
      </w:r>
    </w:p>
    <w:p>
      <w:pPr>
        <w:pStyle w:val="MdParagraph"/>
      </w:pPr>
      <w:r>
        <w:t xml:space="preserve">Suite à l'audit complet du site, voici des recommandations et des propositions d'innovations classées par domaine et par priorité, visant à transformer le site d'une simple vitrine en un véritable outil d'acquisition et de rayonnement.</w:t>
      </w:r>
    </w:p>
    <w:p>
      <w:pPr>
        <w:pStyle w:val="MdSpace"/>
        <w:spacing w:before="0" w:after="60"/>
      </w:pPr>
    </w:p>
    <w:p>
      <w:pPr>
        <w:pStyle w:val="Heading2"/>
        <w:pStyle w:val="MdHeading2"/>
      </w:pPr>
      <w:r>
        <w:t xml:space="preserve">1. Corrections Critiques Immédiates (Hygiène de base)</w:t>
      </w:r>
    </w:p>
    <w:p>
      <w:pPr>
        <w:pStyle w:val="MdParagraph"/>
      </w:pPr>
      <w:r>
        <w:t xml:space="preserve">Avant toute innovation, des correctifs urgents s'imposent pour ne pas dégrader la confiance :</w:t>
      </w:r>
    </w:p>
    <w:p>
      <w:pPr>
        <w:pStyle w:val="MdListItem"/>
        <w:numPr>
          <w:ilvl w:val="0"/>
          <w:numId w:val="2"/>
        </w:numPr>
      </w:pPr>
      <w:r>
        <w:rPr>
          <w:rStyle w:val="MdStrong"/>
          <w:b/>
          <w:bCs/>
        </w:rPr>
        <w:t xml:space="preserve">Remplacer les « [à compléter] »</w:t>
      </w:r>
      <w:r>
        <w:t xml:space="preserve"> par les véritables coordonnées (email professionnel et numéro de téléphone) dans le pied de page et sur la page Contact.</w:t>
      </w:r>
    </w:p>
    <w:p>
      <w:pPr>
        <w:pStyle w:val="MdListItem"/>
        <w:numPr>
          <w:ilvl w:val="0"/>
          <w:numId w:val="2"/>
        </w:numPr>
      </w:pPr>
      <w:r>
        <w:rPr>
          <w:rStyle w:val="MdStrong"/>
          <w:b/>
          <w:bCs/>
        </w:rPr>
        <w:t xml:space="preserve">Rédiger et publier des Mentions Légales et une Politique de Confidentialité</w:t>
      </w:r>
      <w:r>
        <w:t xml:space="preserve"> conformes aux normes marocaines (loi 09-08) et internationales (RGPD si ciblage européen), incluant les informations sur l'hébergeur, le statut juridique du cabinet, et la gestion des cookies.</w:t>
      </w:r>
    </w:p>
    <w:p>
      <w:pPr>
        <w:pStyle w:val="MdSpace"/>
        <w:spacing w:before="0" w:after="60"/>
      </w:pPr>
    </w:p>
    <w:p>
      <w:pPr>
        <w:pStyle w:val="Heading2"/>
        <w:pStyle w:val="MdHeading2"/>
      </w:pPr>
      <w:r>
        <w:t xml:space="preserve">2. Innovations en Architecture de l'Information et UX</w:t>
      </w:r>
    </w:p>
    <w:p>
      <w:pPr>
        <w:pStyle w:val="Heading3"/>
        <w:pStyle w:val="MdHeading3"/>
      </w:pPr>
      <w:r>
        <w:t xml:space="preserve">A. Segmentation par Typologie de Client (Parcours dédiés)</w:t>
      </w:r>
    </w:p>
    <w:p>
      <w:pPr>
        <w:pStyle w:val="MdParagraph"/>
      </w:pPr>
      <w:r>
        <w:t xml:space="preserve">Actuellement, le site est structuré par "Expertise". Il faut ajouter une entrée par "Besoin" ou "Profil" pour guider l'utilisateur dès la page d'accueil.</w:t>
      </w:r>
    </w:p>
    <w:p>
      <w:pPr>
        <w:pStyle w:val="MdListItem"/>
        <w:numPr>
          <w:ilvl w:val="0"/>
          <w:numId w:val="2"/>
        </w:numPr>
      </w:pPr>
      <w:r>
        <w:rPr>
          <w:rStyle w:val="MdStrong"/>
          <w:b/>
          <w:bCs/>
        </w:rPr>
        <w:t xml:space="preserve">Innovation</w:t>
      </w:r>
      <w:r>
        <w:t xml:space="preserve"> : Créer une section "Vous êtes :" sur l'accueil dirigeant vers des landing pages spécifiques :</w:t>
      </w:r>
    </w:p>
    <w:p>
      <w:pPr>
        <w:pStyle w:val="MdListItem"/>
        <w:numPr>
          <w:ilvl w:val="1"/>
          <w:numId w:val="2"/>
        </w:numPr>
      </w:pPr>
      <w:r>
        <w:rPr>
          <w:rStyle w:val="MdEm"/>
          <w:i/>
          <w:iCs/>
        </w:rPr>
        <w:t xml:space="preserve">Collectivité locale / Institution publique</w:t>
      </w:r>
      <w:r>
        <w:t xml:space="preserve"> (axé sur la gouvernance, PATRIGOV, et l'impact territorial).</w:t>
      </w:r>
    </w:p>
    <w:p>
      <w:pPr>
        <w:pStyle w:val="MdListItem"/>
        <w:numPr>
          <w:ilvl w:val="1"/>
          <w:numId w:val="2"/>
        </w:numPr>
      </w:pPr>
      <w:r>
        <w:rPr>
          <w:rStyle w:val="MdEm"/>
          <w:i/>
          <w:iCs/>
        </w:rPr>
        <w:t xml:space="preserve">Investisseur privé / Promoteur</w:t>
      </w:r>
      <w:r>
        <w:t xml:space="preserve"> (axé sur la valorisation foncière, le ROI, et l'optimisation parcellaire).</w:t>
      </w:r>
    </w:p>
    <w:p>
      <w:pPr>
        <w:pStyle w:val="MdListItem"/>
        <w:numPr>
          <w:ilvl w:val="1"/>
          <w:numId w:val="2"/>
        </w:numPr>
      </w:pPr>
      <w:r>
        <w:rPr>
          <w:rStyle w:val="MdEm"/>
          <w:i/>
          <w:iCs/>
        </w:rPr>
        <w:t xml:space="preserve">Maître d'ouvrage de projets d'envergure</w:t>
      </w:r>
      <w:r>
        <w:t xml:space="preserve"> (axé sur le pilotage, la coordination multi-acteurs).</w:t>
      </w:r>
    </w:p>
    <w:p>
      <w:pPr>
        <w:pStyle w:val="MdSpace"/>
        <w:spacing w:before="0" w:after="60"/>
      </w:pPr>
    </w:p>
    <w:p>
      <w:pPr>
        <w:pStyle w:val="Heading3"/>
        <w:pStyle w:val="MdHeading3"/>
      </w:pPr>
      <w:r>
        <w:t xml:space="preserve">B. Valorisation de la méthode PATRIGOV</w:t>
      </w:r>
    </w:p>
    <w:p>
      <w:pPr>
        <w:pStyle w:val="MdParagraph"/>
      </w:pPr>
      <w:r>
        <w:t xml:space="preserve">La méthode propriétaire est un atout différenciant majeur, mais elle reste théorique.</w:t>
      </w:r>
    </w:p>
    <w:p>
      <w:pPr>
        <w:pStyle w:val="MdListItem"/>
        <w:numPr>
          <w:ilvl w:val="0"/>
          <w:numId w:val="2"/>
        </w:numPr>
      </w:pPr>
      <w:r>
        <w:rPr>
          <w:rStyle w:val="MdStrong"/>
          <w:b/>
          <w:bCs/>
        </w:rPr>
        <w:t xml:space="preserve">Innovation</w:t>
      </w:r>
      <w:r>
        <w:t xml:space="preserve"> : Créer un schéma interactif ou une infographie animée sur la page "Méthode" expliquant les étapes de PATRIGOV. Permettre au visiteur de cliquer sur chaque étape (Diagnostic, Concertation, Modélisation, etc.) pour voir un exemple concret d'application.</w:t>
      </w:r>
    </w:p>
    <w:p>
      <w:pPr>
        <w:pStyle w:val="MdSpace"/>
        <w:spacing w:before="0" w:after="60"/>
      </w:pPr>
    </w:p>
    <w:p>
      <w:pPr>
        <w:pStyle w:val="Heading2"/>
        <w:pStyle w:val="MdHeading2"/>
      </w:pPr>
      <w:r>
        <w:t xml:space="preserve">3. Innovations Editoriales et Preuve Sociale</w:t>
      </w:r>
    </w:p>
    <w:p>
      <w:pPr>
        <w:pStyle w:val="Heading3"/>
        <w:pStyle w:val="MdHeading3"/>
      </w:pPr>
      <w:r>
        <w:t xml:space="preserve">A. Transition de l'expérience du fondateur vers les succès du cabinet</w:t>
      </w:r>
    </w:p>
    <w:p>
      <w:pPr>
        <w:pStyle w:val="MdParagraph"/>
      </w:pPr>
      <w:r>
        <w:t xml:space="preserve">Le site repose trop sur le passé du fondateur. Il faut prouver la capacité d'exécution de la structure actuelle.</w:t>
      </w:r>
    </w:p>
    <w:p>
      <w:pPr>
        <w:pStyle w:val="MdListItem"/>
        <w:numPr>
          <w:ilvl w:val="0"/>
          <w:numId w:val="2"/>
        </w:numPr>
      </w:pPr>
      <w:r>
        <w:rPr>
          <w:rStyle w:val="MdStrong"/>
          <w:b/>
          <w:bCs/>
        </w:rPr>
        <w:t xml:space="preserve">Innovation</w:t>
      </w:r>
      <w:r>
        <w:t xml:space="preserve"> : Transformer la section "Références" en "Études de cas". Plutôt que de simples photos, chaque projet doit suivre une structure narrative : </w:t>
      </w:r>
      <w:r>
        <w:rPr>
          <w:rStyle w:val="MdEm"/>
          <w:i/>
          <w:iCs/>
        </w:rPr>
        <w:t xml:space="preserve">Le Défi initial / La Méthode Archeritage / Le Résultat chiffré ou l'Impact territorial</w:t>
      </w:r>
      <w:r>
        <w:t xml:space="preserve">.</w:t>
      </w:r>
    </w:p>
    <w:p>
      <w:pPr>
        <w:pStyle w:val="MdListItem"/>
        <w:numPr>
          <w:ilvl w:val="0"/>
          <w:numId w:val="2"/>
        </w:numPr>
      </w:pPr>
      <w:r>
        <w:rPr>
          <w:rStyle w:val="MdStrong"/>
          <w:b/>
          <w:bCs/>
        </w:rPr>
        <w:t xml:space="preserve">Recommandation</w:t>
      </w:r>
      <w:r>
        <w:t xml:space="preserve"> : Intégrer des citations courtes (verbatims) de clients, de partenaires institutionnels ou d'élus locaux pour asseoir la crédibilité du cabinet en tant qu'entité.</w:t>
      </w:r>
    </w:p>
    <w:p>
      <w:pPr>
        <w:pStyle w:val="MdSpace"/>
        <w:spacing w:before="0" w:after="60"/>
      </w:pPr>
    </w:p>
    <w:p>
      <w:pPr>
        <w:pStyle w:val="Heading3"/>
        <w:pStyle w:val="MdHeading3"/>
      </w:pPr>
      <w:r>
        <w:t xml:space="preserve">B. Stratégie de "Lead Magnet" (Génération de contacts)</w:t>
      </w:r>
    </w:p>
    <w:p>
      <w:pPr>
        <w:pStyle w:val="MdParagraph"/>
      </w:pPr>
      <w:r>
        <w:t xml:space="preserve">Le site manque d'outils pour capter les visiteurs qui ne sont pas encore prêts à "Discuter d'un projet".</w:t>
      </w:r>
    </w:p>
    <w:p>
      <w:pPr>
        <w:pStyle w:val="MdListItem"/>
        <w:numPr>
          <w:ilvl w:val="0"/>
          <w:numId w:val="2"/>
        </w:numPr>
      </w:pPr>
      <w:r>
        <w:rPr>
          <w:rStyle w:val="MdStrong"/>
          <w:b/>
          <w:bCs/>
        </w:rPr>
        <w:t xml:space="preserve">Innovation</w:t>
      </w:r>
      <w:r>
        <w:t xml:space="preserve"> : Créer des contenus à forte valeur ajoutée téléchargeables contre un email.</w:t>
      </w:r>
    </w:p>
    <w:p>
      <w:pPr>
        <w:pStyle w:val="MdListItem"/>
        <w:numPr>
          <w:ilvl w:val="1"/>
          <w:numId w:val="2"/>
        </w:numPr>
      </w:pPr>
      <w:r>
        <w:rPr>
          <w:rStyle w:val="MdEm"/>
          <w:i/>
          <w:iCs/>
        </w:rPr>
        <w:t xml:space="preserve">Exemple 1</w:t>
      </w:r>
      <w:r>
        <w:t xml:space="preserve"> : "Livre blanc : Les 5 erreurs fatales dans la valorisation du foncier public au Maroc".</w:t>
      </w:r>
    </w:p>
    <w:p>
      <w:pPr>
        <w:pStyle w:val="MdListItem"/>
        <w:numPr>
          <w:ilvl w:val="1"/>
          <w:numId w:val="2"/>
        </w:numPr>
      </w:pPr>
      <w:r>
        <w:rPr>
          <w:rStyle w:val="MdEm"/>
          <w:i/>
          <w:iCs/>
        </w:rPr>
        <w:t xml:space="preserve">Exemple 2</w:t>
      </w:r>
      <w:r>
        <w:t xml:space="preserve"> : "Checklist de viabilité pour la reconversion d'un bâtiment historique".</w:t>
      </w:r>
    </w:p>
    <w:p>
      <w:pPr>
        <w:pStyle w:val="MdListItem"/>
        <w:numPr>
          <w:ilvl w:val="0"/>
          <w:numId w:val="2"/>
        </w:numPr>
      </w:pPr>
      <w:r>
        <w:t xml:space="preserve">Intégrer ces offres de téléchargement de manière contextuelle à la fin des articles du "Journal" et sur les pages d'expertises.</w:t>
      </w:r>
    </w:p>
    <w:p>
      <w:pPr>
        <w:pStyle w:val="MdSpace"/>
        <w:spacing w:before="0" w:after="60"/>
      </w:pPr>
    </w:p>
    <w:p>
      <w:pPr>
        <w:pStyle w:val="Heading2"/>
        <w:pStyle w:val="MdHeading2"/>
      </w:pPr>
      <w:r>
        <w:t xml:space="preserve">4. Innovations Marketing et Commerciales</w:t>
      </w:r>
    </w:p>
    <w:p>
      <w:pPr>
        <w:pStyle w:val="Heading3"/>
        <w:pStyle w:val="MdHeading3"/>
      </w:pPr>
      <w:r>
        <w:t xml:space="preserve">A. L'Audit Préliminaire Offert (Micro-conversion)</w:t>
      </w:r>
    </w:p>
    <w:p>
      <w:pPr>
        <w:pStyle w:val="MdParagraph"/>
      </w:pPr>
      <w:r>
        <w:t xml:space="preserve">Le bouton "Contactez-nous" est générique. Il faut proposer une première étape moins engageante mais plus attractive.</w:t>
      </w:r>
    </w:p>
    <w:p>
      <w:pPr>
        <w:pStyle w:val="MdListItem"/>
        <w:numPr>
          <w:ilvl w:val="0"/>
          <w:numId w:val="2"/>
        </w:numPr>
      </w:pPr>
      <w:r>
        <w:rPr>
          <w:rStyle w:val="MdStrong"/>
          <w:b/>
          <w:bCs/>
        </w:rPr>
        <w:t xml:space="preserve">Innovation</w:t>
      </w:r>
      <w:r>
        <w:t xml:space="preserve"> : Remplacer certains CTA par "Demander un pré-diagnostic foncier" ou "Évaluer le potentiel de votre site". L'utilisateur remplit un formulaire qualifié (type de terrain, localisation, objectif) qui permet à Archeritage de préparer le premier appel avec des éléments concrets, démontrant immédiatement son expertise.</w:t>
      </w:r>
    </w:p>
    <w:p>
      <w:pPr>
        <w:pStyle w:val="MdSpace"/>
        <w:spacing w:before="0" w:after="60"/>
      </w:pPr>
    </w:p>
    <w:p>
      <w:pPr>
        <w:pStyle w:val="Heading3"/>
        <w:pStyle w:val="MdHeading3"/>
      </w:pPr>
      <w:r>
        <w:t xml:space="preserve">B. Le "Journal" comme outil de Thought Leadership</w:t>
      </w:r>
    </w:p>
    <w:p>
      <w:pPr>
        <w:pStyle w:val="MdParagraph"/>
      </w:pPr>
      <w:r>
        <w:t xml:space="preserve">Les articles actuels sont bons mais sous-exploités.</w:t>
      </w:r>
    </w:p>
    <w:p>
      <w:pPr>
        <w:pStyle w:val="MdListItem"/>
        <w:numPr>
          <w:ilvl w:val="0"/>
          <w:numId w:val="2"/>
        </w:numPr>
      </w:pPr>
      <w:r>
        <w:rPr>
          <w:rStyle w:val="MdStrong"/>
          <w:b/>
          <w:bCs/>
        </w:rPr>
        <w:t xml:space="preserve">Innovation</w:t>
      </w:r>
      <w:r>
        <w:t xml:space="preserve"> : Transformer le Journal en véritable "Observatoire du Foncier et du Patrimoine".</w:t>
      </w:r>
    </w:p>
    <w:p>
      <w:pPr>
        <w:pStyle w:val="MdListItem"/>
        <w:numPr>
          <w:ilvl w:val="1"/>
          <w:numId w:val="2"/>
        </w:numPr>
      </w:pPr>
      <w:r>
        <w:t xml:space="preserve">Ajouter des interviews d'experts croisés (urbanistes, historiens, élus).</w:t>
      </w:r>
    </w:p>
    <w:p>
      <w:pPr>
        <w:pStyle w:val="MdListItem"/>
        <w:numPr>
          <w:ilvl w:val="1"/>
          <w:numId w:val="2"/>
        </w:numPr>
      </w:pPr>
      <w:r>
        <w:t xml:space="preserve">Intégrer une newsletter trimestrielle ("La Lettre Archeritage") pour fidéliser l'audience institutionnelle.</w:t>
      </w:r>
    </w:p>
    <w:p>
      <w:pPr>
        <w:pStyle w:val="MdListItem"/>
        <w:numPr>
          <w:ilvl w:val="1"/>
          <w:numId w:val="2"/>
        </w:numPr>
      </w:pPr>
      <w:r>
        <w:t xml:space="preserve">Publier des analyses de cas sur des projets marocains ou internationaux, même ceux non réalisés par le cabinet, pour démontrer une vision critique et experte.</w:t>
      </w:r>
    </w:p>
    <w:p>
      <w:pPr>
        <w:pStyle w:val="MdSpace"/>
        <w:spacing w:before="0" w:after="60"/>
      </w:pPr>
    </w:p>
    <w:p>
      <w:pPr>
        <w:pStyle w:val="Heading2"/>
        <w:pStyle w:val="MdHeading2"/>
      </w:pPr>
      <w:r>
        <w:t xml:space="preserve">Synthèse des Priorités d'Action</w:t>
      </w:r>
    </w:p>
    <w:p>
      <w:pPr>
        <w:pStyle w:val="MdListItem"/>
        <w:numPr>
          <w:ilvl w:val="0"/>
          <w:numId w:val="3"/>
        </w:numPr>
      </w:pPr>
      <w:r>
        <w:rPr>
          <w:rStyle w:val="MdStrong"/>
          <w:b/>
          <w:bCs/>
        </w:rPr>
        <w:t xml:space="preserve">Mois 1 (Fondations)</w:t>
      </w:r>
      <w:r>
        <w:t xml:space="preserve"> : Compléter les contacts, rédiger les pages légales, intégrer des témoignages clients existants.</w:t>
      </w:r>
    </w:p>
    <w:p>
      <w:pPr>
        <w:pStyle w:val="MdListItem"/>
        <w:numPr>
          <w:ilvl w:val="0"/>
          <w:numId w:val="3"/>
        </w:numPr>
      </w:pPr>
      <w:r>
        <w:rPr>
          <w:rStyle w:val="MdStrong"/>
          <w:b/>
          <w:bCs/>
        </w:rPr>
        <w:t xml:space="preserve">Mois 2 (Acquisition)</w:t>
      </w:r>
      <w:r>
        <w:t xml:space="preserve"> : Créer le premier "Lead Magnet" (Livre blanc) et mettre en place les formulaires de capture d'email. Restructurer les références en Études de cas.</w:t>
      </w:r>
    </w:p>
    <w:p>
      <w:pPr>
        <w:pStyle w:val="MdListItem"/>
        <w:numPr>
          <w:ilvl w:val="0"/>
          <w:numId w:val="3"/>
        </w:numPr>
      </w:pPr>
      <w:r>
        <w:rPr>
          <w:rStyle w:val="MdStrong"/>
          <w:b/>
          <w:bCs/>
        </w:rPr>
        <w:t xml:space="preserve">Mois 3 (Expérience)</w:t>
      </w:r>
      <w:r>
        <w:t xml:space="preserve"> : Déployer les parcours par profil client (Collectivités / Investisseurs) et l'infographie interactive de la méthode PATRIGOV. Mettre en place l'offre de "Pré-diagnostic".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2026-07-16T18:06:20.475Z</dcterms:created>
  <dcterms:modified xsi:type="dcterms:W3CDTF">2026-07-16T18:06:20.475Z</dcterms:modified>
</cp:coreProperties>
</file>

<file path=docProps/custom.xml><?xml version="1.0" encoding="utf-8"?>
<Properties xmlns="http://schemas.openxmlformats.org/officeDocument/2006/custom-properties" xmlns:vt="http://schemas.openxmlformats.org/officeDocument/2006/docPropsVTypes"/>
</file>