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Times New Roman" w:cs="Times New Roman" w:eastAsia="Times New Roman" w:hAnsi="Times New Roman"/>
          <w:b/>
          <w:bCs/>
          <w:sz w:val="56"/>
          <w:szCs w:val="56"/>
        </w:rPr>
        <w:t xml:space="preserve">ARCHERITAGE</w:t>
      </w:r>
    </w:p>
    <w:p>
      <w:pPr>
        <w:spacing w:after="600"/>
        <w:jc w:val="center"/>
      </w:pPr>
      <w:r>
        <w:rPr>
          <w:rFonts w:ascii="Times New Roman" w:cs="Times New Roman" w:eastAsia="Times New Roman" w:hAnsi="Times New Roman"/>
          <w:i/>
          <w:iCs/>
          <w:color w:val="B5592D"/>
          <w:sz w:val="26"/>
          <w:szCs w:val="26"/>
        </w:rPr>
        <w:t xml:space="preserve">Contenus du site — version enrichie pour le web</w:t>
      </w:r>
    </w:p>
    <w:p>
      <w:pPr>
        <w:spacing w:after="160" w:line="300"/>
        <w:jc w:val="both"/>
      </w:pPr>
      <w:r>
        <w:rPr>
          <w:rFonts w:ascii="Times New Roman" w:cs="Times New Roman" w:eastAsia="Times New Roman" w:hAnsi="Times New Roman"/>
          <w:sz w:val="22"/>
          <w:szCs w:val="22"/>
        </w:rPr>
        <w:t xml:space="preserve">Ce document contient la réécriture des 8 pages du site (accueil ajoutée + 7 rubriques initiales), prêtes à être intégrées à votre CMS. Chaque page a été resserrée pour la lecture web, structurée autour des trois piliers — valorisation foncière, architecture des projets d'envergure, valorisation du patrimoine — et enrichie de preuves concrètes issues du parcours réel du fondateur, selon la formule d'attribution déjà retenue pour le portfolio Archeritage : l'expérience personnelle de 35 ans du fondateur est présentée distinctement de la production propre du cabinet, sans mention des structures d'entreprise.</w:t>
      </w:r>
    </w:p>
    <w:p>
      <w:pPr>
        <w:spacing w:after="160" w:line="300"/>
        <w:jc w:val="both"/>
      </w:pPr>
      <w:r>
        <w:rPr>
          <w:rFonts w:ascii="Times New Roman" w:cs="Times New Roman" w:eastAsia="Times New Roman" w:hAnsi="Times New Roman"/>
          <w:sz w:val="22"/>
          <w:szCs w:val="22"/>
        </w:rPr>
        <w:t xml:space="preserve">À compléter avant mise en ligne : coordonnées définitives (email, téléphone, adresse), photographies des projets cités, et validation des institutions pouvant être nommées publiquement.</w:t>
      </w:r>
    </w:p>
    <w:p>
      <w:r>
        <w:br w:type="page"/>
      </w:r>
    </w:p>
    <w:p>
      <w:pPr>
        <w:spacing w:after="60" w:before="100"/>
      </w:pPr>
      <w:r>
        <w:rPr>
          <w:rFonts w:ascii="Times New Roman" w:cs="Times New Roman" w:eastAsia="Times New Roman" w:hAnsi="Times New Roman"/>
          <w:b/>
          <w:bCs/>
          <w:caps/>
          <w:color w:val="B5592D"/>
          <w:sz w:val="16"/>
          <w:szCs w:val="16"/>
        </w:rPr>
        <w:t xml:space="preserve">Page 1 — Accueil (nouvelle page recommandée)</w:t>
      </w:r>
    </w:p>
    <w:p>
      <w:pPr>
        <w:spacing w:after="160" w:before="100"/>
      </w:pPr>
      <w:r>
        <w:rPr>
          <w:rFonts w:ascii="Times New Roman" w:cs="Times New Roman" w:eastAsia="Times New Roman" w:hAnsi="Times New Roman"/>
          <w:b/>
          <w:bCs/>
          <w:sz w:val="34"/>
          <w:szCs w:val="34"/>
        </w:rPr>
        <w:t xml:space="preserve">Valoriser le foncier. Construire l'envergure. Préserver la mémoire.</w:t>
      </w:r>
    </w:p>
    <w:p>
      <w:pPr>
        <w:spacing w:after="260"/>
      </w:pPr>
      <w:r>
        <w:rPr>
          <w:rFonts w:ascii="Times New Roman" w:cs="Times New Roman" w:eastAsia="Times New Roman" w:hAnsi="Times New Roman"/>
          <w:i/>
          <w:iCs/>
          <w:color w:val="B5592D"/>
          <w:sz w:val="24"/>
          <w:szCs w:val="24"/>
        </w:rPr>
        <w:t xml:space="preserve">Archeritage est un cabinet d'architecture qui réunit trois expertises rarement combinées sous un même toit : la valorisation foncière et territoriale, l'architecture des projets d'envergure, et la restauration du patrimoine bâti.</w:t>
      </w:r>
    </w:p>
    <w:p>
      <w:pPr>
        <w:spacing w:after="160" w:line="300"/>
        <w:jc w:val="both"/>
      </w:pPr>
      <w:r>
        <w:rPr>
          <w:rFonts w:ascii="Times New Roman" w:cs="Times New Roman" w:eastAsia="Times New Roman" w:hAnsi="Times New Roman"/>
          <w:sz w:val="22"/>
          <w:szCs w:val="22"/>
        </w:rPr>
        <w:t xml:space="preserve">Fondé par Ahmed Taoufik Naciri, architecte, Archeritage s'appuie sur 35 années d'expérience territoriale au service d'institutions publiques, de collectivités et de maîtres d'ouvrage privés, pour transformer des sites complexes en projets maîtrisés — du foncier brut au monument classé.</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35 ans</w:t>
            </w:r>
          </w:p>
          <w:p>
            <w:pPr>
              <w:jc w:val="center"/>
            </w:pPr>
            <w:r>
              <w:rPr>
                <w:rFonts w:ascii="Times New Roman" w:cs="Times New Roman" w:eastAsia="Times New Roman" w:hAnsi="Times New Roman"/>
                <w:color w:val="5A5A5A"/>
                <w:sz w:val="18"/>
                <w:szCs w:val="18"/>
              </w:rPr>
              <w:t xml:space="preserve">d'expérience territoriale</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UNESCO / UNDP</w:t>
            </w:r>
          </w:p>
          <w:p>
            <w:pPr>
              <w:jc w:val="center"/>
            </w:pPr>
            <w:r>
              <w:rPr>
                <w:rFonts w:ascii="Times New Roman" w:cs="Times New Roman" w:eastAsia="Times New Roman" w:hAnsi="Times New Roman"/>
                <w:color w:val="5A5A5A"/>
                <w:sz w:val="18"/>
                <w:szCs w:val="18"/>
              </w:rPr>
              <w:t xml:space="preserve">Médina de Fès</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1er prêt</w:t>
            </w:r>
          </w:p>
          <w:p>
            <w:pPr>
              <w:jc w:val="center"/>
            </w:pPr>
            <w:r>
              <w:rPr>
                <w:rFonts w:ascii="Times New Roman" w:cs="Times New Roman" w:eastAsia="Times New Roman" w:hAnsi="Times New Roman"/>
                <w:color w:val="5A5A5A"/>
                <w:sz w:val="18"/>
                <w:szCs w:val="18"/>
              </w:rPr>
              <w:t xml:space="preserve">Banque mondiale, ville de Casablanca</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PATRIGOV</w:t>
            </w:r>
          </w:p>
          <w:p>
            <w:pPr>
              <w:jc w:val="center"/>
            </w:pPr>
            <w:r>
              <w:rPr>
                <w:rFonts w:ascii="Times New Roman" w:cs="Times New Roman" w:eastAsia="Times New Roman" w:hAnsi="Times New Roman"/>
                <w:color w:val="5A5A5A"/>
                <w:sz w:val="18"/>
                <w:szCs w:val="18"/>
              </w:rPr>
              <w:t xml:space="preserve">méthode propriétaire de gouvernance</w:t>
            </w:r>
          </w:p>
        </w:tc>
      </w:tr>
    </w:tbl>
    <w:p>
      <w:pPr>
        <w:pBdr>
          <w:bottom w:val="single" w:color="241F1C" w:sz="4" w:space="4"/>
        </w:pBdr>
        <w:spacing w:after="140" w:before="320"/>
      </w:pPr>
      <w:r>
        <w:rPr>
          <w:rFonts w:ascii="Times New Roman" w:cs="Times New Roman" w:eastAsia="Times New Roman" w:hAnsi="Times New Roman"/>
          <w:b/>
          <w:bCs/>
          <w:sz w:val="24"/>
          <w:szCs w:val="24"/>
        </w:rPr>
        <w:t xml:space="preserve">Trois expertises, une seule exigence de maîtrise</w:t>
      </w:r>
    </w:p>
    <w:p>
      <w:pPr>
        <w:spacing w:after="100" w:before="200"/>
      </w:pPr>
      <w:r>
        <w:rPr>
          <w:rFonts w:ascii="Times New Roman" w:cs="Times New Roman" w:eastAsia="Times New Roman" w:hAnsi="Times New Roman"/>
          <w:b/>
          <w:bCs/>
          <w:sz w:val="22"/>
          <w:szCs w:val="22"/>
        </w:rPr>
        <w:t xml:space="preserve">Valorisation foncière et territoriale</w:t>
      </w:r>
    </w:p>
    <w:p>
      <w:pPr>
        <w:spacing w:after="160" w:line="300"/>
        <w:jc w:val="both"/>
      </w:pPr>
      <w:r>
        <w:rPr>
          <w:rFonts w:ascii="Times New Roman" w:cs="Times New Roman" w:eastAsia="Times New Roman" w:hAnsi="Times New Roman"/>
          <w:sz w:val="22"/>
          <w:szCs w:val="22"/>
        </w:rPr>
        <w:t xml:space="preserve">Études de faisabilité, optimisation parcellaire, lotissements, structuration d'opérations foncières complexes et stratégies de valorisation pour collectivités et investisseurs.</w:t>
      </w:r>
    </w:p>
    <w:p>
      <w:pPr>
        <w:spacing w:after="100" w:before="200"/>
      </w:pPr>
      <w:r>
        <w:rPr>
          <w:rFonts w:ascii="Times New Roman" w:cs="Times New Roman" w:eastAsia="Times New Roman" w:hAnsi="Times New Roman"/>
          <w:b/>
          <w:bCs/>
          <w:sz w:val="22"/>
          <w:szCs w:val="22"/>
        </w:rPr>
        <w:t xml:space="preserve">Architecture et projets d'envergure</w:t>
      </w:r>
    </w:p>
    <w:p>
      <w:pPr>
        <w:spacing w:after="160" w:line="300"/>
        <w:jc w:val="both"/>
      </w:pPr>
      <w:r>
        <w:rPr>
          <w:rFonts w:ascii="Times New Roman" w:cs="Times New Roman" w:eastAsia="Times New Roman" w:hAnsi="Times New Roman"/>
          <w:sz w:val="22"/>
          <w:szCs w:val="22"/>
        </w:rPr>
        <w:t xml:space="preserve">Conception, coordination et pilotage de bâtiments publics, équipements collectifs et opérations multi-acteurs nécessitant une gouvernance de projet rigoureuse.</w:t>
      </w:r>
    </w:p>
    <w:p>
      <w:pPr>
        <w:spacing w:after="100" w:before="200"/>
      </w:pPr>
      <w:r>
        <w:rPr>
          <w:rFonts w:ascii="Times New Roman" w:cs="Times New Roman" w:eastAsia="Times New Roman" w:hAnsi="Times New Roman"/>
          <w:b/>
          <w:bCs/>
          <w:sz w:val="22"/>
          <w:szCs w:val="22"/>
        </w:rPr>
        <w:t xml:space="preserve">Valorisation du patrimoine</w:t>
      </w:r>
    </w:p>
    <w:p>
      <w:pPr>
        <w:spacing w:after="160" w:line="300"/>
        <w:jc w:val="both"/>
      </w:pPr>
      <w:r>
        <w:rPr>
          <w:rFonts w:ascii="Times New Roman" w:cs="Times New Roman" w:eastAsia="Times New Roman" w:hAnsi="Times New Roman"/>
          <w:sz w:val="22"/>
          <w:szCs w:val="22"/>
        </w:rPr>
        <w:t xml:space="preserve">Diagnostic, restauration, réhabilitation et reconversion de monuments, kasbahs, médinas et sites historiques — de la lecture patrimoniale à la mise en valeur territoriale.</w:t>
      </w:r>
    </w:p>
    <w:p>
      <w:pPr>
        <w:pBdr>
          <w:left w:val="single" w:color="B5592D" w:sz="12" w:space="8"/>
        </w:pBdr>
        <w:shd w:fill="F5F1E8" w:val="clear"/>
        <w:spacing w:after="200" w:before="120"/>
        <w:ind w:left="200"/>
        <w:jc w:val="both"/>
      </w:pPr>
      <w:r>
        <w:rPr>
          <w:rFonts w:ascii="Times New Roman" w:cs="Times New Roman" w:eastAsia="Times New Roman" w:hAnsi="Times New Roman"/>
          <w:i/>
          <w:iCs/>
          <w:sz w:val="20"/>
          <w:szCs w:val="20"/>
        </w:rPr>
        <w:t xml:space="preserve">Missions patrimoniales significatives conduites par le fondateur : restauration de la Mosquée de Tinmel (Ministère des Habous), Kasbah de Tiznit et Place Mechouar, Théâtre Cervantès à Tanger (APDN), Murailles portugaises et Château de Mer à Safi (Direction régionale de la Culture).</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Discuter d'un projet →  Contactez Archeritage pour un premier échange.</w:t>
      </w:r>
    </w:p>
    <w:p>
      <w:r>
        <w:br w:type="page"/>
      </w:r>
    </w:p>
    <w:p>
      <w:pPr>
        <w:spacing w:after="60" w:before="100"/>
      </w:pPr>
      <w:r>
        <w:rPr>
          <w:rFonts w:ascii="Times New Roman" w:cs="Times New Roman" w:eastAsia="Times New Roman" w:hAnsi="Times New Roman"/>
          <w:b/>
          <w:bCs/>
          <w:caps/>
          <w:color w:val="B5592D"/>
          <w:sz w:val="16"/>
          <w:szCs w:val="16"/>
        </w:rPr>
        <w:t xml:space="preserve">Page 2 — Cabinet</w:t>
      </w:r>
    </w:p>
    <w:p>
      <w:pPr>
        <w:spacing w:after="160" w:before="100"/>
      </w:pPr>
      <w:r>
        <w:rPr>
          <w:rFonts w:ascii="Times New Roman" w:cs="Times New Roman" w:eastAsia="Times New Roman" w:hAnsi="Times New Roman"/>
          <w:b/>
          <w:bCs/>
          <w:sz w:val="34"/>
          <w:szCs w:val="34"/>
        </w:rPr>
        <w:t xml:space="preserve">Trois décennies d'action territoriale au service d'une nouvelle culture du patrimoine</w:t>
      </w:r>
    </w:p>
    <w:p>
      <w:pPr>
        <w:spacing w:after="260"/>
      </w:pPr>
      <w:r>
        <w:rPr>
          <w:rFonts w:ascii="Times New Roman" w:cs="Times New Roman" w:eastAsia="Times New Roman" w:hAnsi="Times New Roman"/>
          <w:i/>
          <w:iCs/>
          <w:color w:val="B5592D"/>
          <w:sz w:val="24"/>
          <w:szCs w:val="24"/>
        </w:rPr>
        <w:t xml:space="preserve">Archeritage n'est pas un cabinet qui débute. C'est un cabinet qui capitalise.</w:t>
      </w:r>
    </w:p>
    <w:p>
      <w:pPr>
        <w:spacing w:after="160" w:line="300"/>
        <w:jc w:val="both"/>
      </w:pPr>
      <w:r>
        <w:rPr>
          <w:rFonts w:ascii="Times New Roman" w:cs="Times New Roman" w:eastAsia="Times New Roman" w:hAnsi="Times New Roman"/>
          <w:sz w:val="22"/>
          <w:szCs w:val="22"/>
        </w:rPr>
        <w:t xml:space="preserve">Ahmed Taoufik Naciri, architecte, fonde Archeritage après 35 années passées à la croisée de l'architecture, du patrimoine et de la gouvernance territoriale — au sein d'institutions publiques marocaines couvrant plusieurs provinces et wilayas. Ce parcours l'a conduit à collaborer avec l'UNESCO et le PNUD (UNDP) sur la sauvegarde de la Médina de Fès, et à porter, comme point focal technique à Casablanca, l'obtention du premier prêt de la Banque mondiale accordé à une ville de cette envergure.</w:t>
      </w:r>
    </w:p>
    <w:p>
      <w:pPr>
        <w:spacing w:after="160" w:line="300"/>
        <w:jc w:val="both"/>
      </w:pPr>
      <w:r>
        <w:rPr>
          <w:rFonts w:ascii="Times New Roman" w:cs="Times New Roman" w:eastAsia="Times New Roman" w:hAnsi="Times New Roman"/>
          <w:sz w:val="22"/>
          <w:szCs w:val="22"/>
        </w:rPr>
        <w:t xml:space="preserve">Cette expérience institutionnelle constitue le socle personnel du fondateur ; Archeritage en prolonge la méthode et l'exigence au service de ses clients, sans s'y substituer.</w:t>
      </w:r>
    </w:p>
    <w:p>
      <w:pPr>
        <w:pBdr>
          <w:bottom w:val="single" w:color="241F1C" w:sz="4" w:space="4"/>
        </w:pBdr>
        <w:spacing w:after="140" w:before="320"/>
      </w:pPr>
      <w:r>
        <w:rPr>
          <w:rFonts w:ascii="Times New Roman" w:cs="Times New Roman" w:eastAsia="Times New Roman" w:hAnsi="Times New Roman"/>
          <w:b/>
          <w:bCs/>
          <w:sz w:val="24"/>
          <w:szCs w:val="24"/>
        </w:rPr>
        <w:t xml:space="preserve">Notre conviction</w:t>
      </w:r>
    </w:p>
    <w:p>
      <w:pPr>
        <w:spacing w:after="160" w:line="300"/>
        <w:jc w:val="both"/>
      </w:pPr>
      <w:r>
        <w:rPr>
          <w:rFonts w:ascii="Times New Roman" w:cs="Times New Roman" w:eastAsia="Times New Roman" w:hAnsi="Times New Roman"/>
          <w:sz w:val="22"/>
          <w:szCs w:val="22"/>
        </w:rPr>
        <w:t xml:space="preserve">Le patrimoine n'est pas un objet figé à conserver : c'est une matière stratégique et territoriale. Un projet patrimonial réussi ne se juge pas seulement à la qualité de son dessin, mais à la clarté de son cadre, à la traçabilité de ses décisions et à la maîtrise réelle de sa conduite.</w:t>
      </w:r>
    </w:p>
    <w:p>
      <w:pPr>
        <w:pBdr>
          <w:bottom w:val="single" w:color="241F1C" w:sz="4" w:space="4"/>
        </w:pBdr>
        <w:spacing w:after="140" w:before="320"/>
      </w:pPr>
      <w:r>
        <w:rPr>
          <w:rFonts w:ascii="Times New Roman" w:cs="Times New Roman" w:eastAsia="Times New Roman" w:hAnsi="Times New Roman"/>
          <w:b/>
          <w:bCs/>
          <w:sz w:val="24"/>
          <w:szCs w:val="24"/>
        </w:rPr>
        <w:t xml:space="preserve">Nos trois piliers</w:t>
      </w:r>
    </w:p>
    <w:p>
      <w:pPr>
        <w:pStyle w:val="ListParagraph"/>
        <w:numPr>
          <w:ilvl w:val="0"/>
          <w:numId w:val="1"/>
        </w:numPr>
        <w:spacing w:after="80"/>
        <w:jc w:val="both"/>
      </w:pPr>
      <w:r>
        <w:rPr>
          <w:rFonts w:ascii="Times New Roman" w:cs="Times New Roman" w:eastAsia="Times New Roman" w:hAnsi="Times New Roman"/>
          <w:sz w:val="22"/>
          <w:szCs w:val="22"/>
        </w:rPr>
        <w:t xml:space="preserve">Valorisation foncière et territoriale — transformer un foncier en actif structuré et valorisable.</w:t>
      </w:r>
    </w:p>
    <w:p>
      <w:pPr>
        <w:pStyle w:val="ListParagraph"/>
        <w:numPr>
          <w:ilvl w:val="0"/>
          <w:numId w:val="1"/>
        </w:numPr>
        <w:spacing w:after="80"/>
        <w:jc w:val="both"/>
      </w:pPr>
      <w:r>
        <w:rPr>
          <w:rFonts w:ascii="Times New Roman" w:cs="Times New Roman" w:eastAsia="Times New Roman" w:hAnsi="Times New Roman"/>
          <w:sz w:val="22"/>
          <w:szCs w:val="22"/>
        </w:rPr>
        <w:t xml:space="preserve">Architecture des projets d'envergure — piloter des opérations complexes, publiques ou privées, jusqu'à leur maîtrise effective.</w:t>
      </w:r>
    </w:p>
    <w:p>
      <w:pPr>
        <w:pStyle w:val="ListParagraph"/>
        <w:numPr>
          <w:ilvl w:val="0"/>
          <w:numId w:val="1"/>
        </w:numPr>
        <w:spacing w:after="80"/>
        <w:jc w:val="both"/>
      </w:pPr>
      <w:r>
        <w:rPr>
          <w:rFonts w:ascii="Times New Roman" w:cs="Times New Roman" w:eastAsia="Times New Roman" w:hAnsi="Times New Roman"/>
          <w:sz w:val="22"/>
          <w:szCs w:val="22"/>
        </w:rPr>
        <w:t xml:space="preserve">Valorisation du patrimoine — préserver, restaurer et transmettre le bâti ancien sans le figer.</w:t>
      </w:r>
    </w:p>
    <w:p>
      <w:pPr>
        <w:pBdr>
          <w:bottom w:val="single" w:color="241F1C" w:sz="4" w:space="4"/>
        </w:pBdr>
        <w:spacing w:after="140" w:before="320"/>
      </w:pPr>
      <w:r>
        <w:rPr>
          <w:rFonts w:ascii="Times New Roman" w:cs="Times New Roman" w:eastAsia="Times New Roman" w:hAnsi="Times New Roman"/>
          <w:b/>
          <w:bCs/>
          <w:sz w:val="24"/>
          <w:szCs w:val="24"/>
        </w:rPr>
        <w:t xml:space="preserve">Le fondateur</w:t>
      </w:r>
    </w:p>
    <w:p>
      <w:pPr>
        <w:spacing w:after="160" w:line="300"/>
        <w:jc w:val="both"/>
      </w:pPr>
      <w:r>
        <w:rPr>
          <w:rFonts w:ascii="Times New Roman" w:cs="Times New Roman" w:eastAsia="Times New Roman" w:hAnsi="Times New Roman"/>
          <w:sz w:val="22"/>
          <w:szCs w:val="22"/>
        </w:rPr>
        <w:t xml:space="preserve">Architecte de formation, Ahmed Taoufik Naciri a occupé, tout au long de sa carrière territoriale, des fonctions de direction en gestion économique, administration fiscale et direction générale des services au sein de collectivités marocaines, avant de se consacrer pleinement à l'architecture patrimoniale et à la gouvernance de projets complexes. Il porte à travers Archeritage une vision du patrimoine comme levier de transformation territoriale — associant exigence culturelle, méthode opérationnelle et capacité de dialogue institutionnel.</w:t>
      </w:r>
    </w:p>
    <w:p>
      <w:pPr>
        <w:pBdr>
          <w:bottom w:val="single" w:color="241F1C" w:sz="4" w:space="4"/>
        </w:pBdr>
        <w:spacing w:after="140" w:before="320"/>
      </w:pPr>
      <w:r>
        <w:rPr>
          <w:rFonts w:ascii="Times New Roman" w:cs="Times New Roman" w:eastAsia="Times New Roman" w:hAnsi="Times New Roman"/>
          <w:b/>
          <w:bCs/>
          <w:sz w:val="24"/>
          <w:szCs w:val="24"/>
        </w:rPr>
        <w:t xml:space="preserve">Notre manière d'intervenir</w:t>
      </w:r>
    </w:p>
    <w:p>
      <w:pPr>
        <w:spacing w:after="160" w:line="300"/>
        <w:jc w:val="both"/>
      </w:pPr>
      <w:r>
        <w:rPr>
          <w:rFonts w:ascii="Times New Roman" w:cs="Times New Roman" w:eastAsia="Times New Roman" w:hAnsi="Times New Roman"/>
          <w:sz w:val="22"/>
          <w:szCs w:val="22"/>
        </w:rPr>
        <w:t xml:space="preserve">Chaque mission commence par la compréhension du lieu, des acteurs et des enjeux réels — jamais par une réponse standard. Archeritage propose ensuite un accompagnement calibré : diagnostic, note stratégique, assistance à maîtrise d'ouvrage, audit, dispositif de gouvernance ou stratégie de valorisation.</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Un projet à structurer, restaurer ou valoriser ?  →  Parlons-en.</w:t>
      </w:r>
    </w:p>
    <w:p>
      <w:r>
        <w:br w:type="page"/>
      </w:r>
    </w:p>
    <w:p>
      <w:pPr>
        <w:spacing w:after="60" w:before="100"/>
      </w:pPr>
      <w:r>
        <w:rPr>
          <w:rFonts w:ascii="Times New Roman" w:cs="Times New Roman" w:eastAsia="Times New Roman" w:hAnsi="Times New Roman"/>
          <w:b/>
          <w:bCs/>
          <w:caps/>
          <w:color w:val="B5592D"/>
          <w:sz w:val="16"/>
          <w:szCs w:val="16"/>
        </w:rPr>
        <w:t xml:space="preserve">Page 3 — Expertises</w:t>
      </w:r>
    </w:p>
    <w:p>
      <w:pPr>
        <w:spacing w:after="160" w:before="100"/>
      </w:pPr>
      <w:r>
        <w:rPr>
          <w:rFonts w:ascii="Times New Roman" w:cs="Times New Roman" w:eastAsia="Times New Roman" w:hAnsi="Times New Roman"/>
          <w:b/>
          <w:bCs/>
          <w:sz w:val="34"/>
          <w:szCs w:val="34"/>
        </w:rPr>
        <w:t xml:space="preserve">Une expertise architecturale au service du foncier, des grands projets et du patrimoine</w:t>
      </w:r>
    </w:p>
    <w:p>
      <w:pPr>
        <w:spacing w:after="260"/>
      </w:pPr>
      <w:r>
        <w:rPr>
          <w:rFonts w:ascii="Times New Roman" w:cs="Times New Roman" w:eastAsia="Times New Roman" w:hAnsi="Times New Roman"/>
          <w:i/>
          <w:iCs/>
          <w:color w:val="B5592D"/>
          <w:sz w:val="24"/>
          <w:szCs w:val="24"/>
        </w:rPr>
        <w:t xml:space="preserve">Douze compétences, organisées autour de trois exigences : comprendre, concevoir, sécuriser.</w:t>
      </w:r>
    </w:p>
    <w:p>
      <w:pPr>
        <w:spacing w:after="160" w:line="300"/>
        <w:jc w:val="both"/>
      </w:pPr>
      <w:r>
        <w:rPr>
          <w:rFonts w:ascii="Times New Roman" w:cs="Times New Roman" w:eastAsia="Times New Roman" w:hAnsi="Times New Roman"/>
          <w:sz w:val="22"/>
          <w:szCs w:val="22"/>
        </w:rPr>
        <w:t xml:space="preserve">Archeritage combine une culture architecturale exigeante, une connaissance fine du patrimoine bâti et une méthode de gouvernance de projet éprouvée sur des opérations institutionnelles réelles.</w:t>
      </w:r>
    </w:p>
    <w:p>
      <w:pPr>
        <w:pBdr>
          <w:bottom w:val="single" w:color="241F1C" w:sz="4" w:space="4"/>
        </w:pBdr>
        <w:spacing w:after="140" w:before="320"/>
      </w:pPr>
      <w:r>
        <w:rPr>
          <w:rFonts w:ascii="Times New Roman" w:cs="Times New Roman" w:eastAsia="Times New Roman" w:hAnsi="Times New Roman"/>
          <w:b/>
          <w:bCs/>
          <w:sz w:val="24"/>
          <w:szCs w:val="24"/>
        </w:rPr>
        <w:t xml:space="preserve">Valorisation foncière et territoriale</w:t>
      </w:r>
    </w:p>
    <w:p>
      <w:pPr>
        <w:pStyle w:val="ListParagraph"/>
        <w:numPr>
          <w:ilvl w:val="0"/>
          <w:numId w:val="1"/>
        </w:numPr>
        <w:spacing w:after="80"/>
        <w:jc w:val="both"/>
      </w:pPr>
      <w:r>
        <w:rPr>
          <w:rFonts w:ascii="Times New Roman" w:cs="Times New Roman" w:eastAsia="Times New Roman" w:hAnsi="Times New Roman"/>
          <w:sz w:val="22"/>
          <w:szCs w:val="22"/>
        </w:rPr>
        <w:t xml:space="preserve">Études de faisabilité et optimisation parcellaire</w:t>
      </w:r>
    </w:p>
    <w:p>
      <w:pPr>
        <w:pStyle w:val="ListParagraph"/>
        <w:numPr>
          <w:ilvl w:val="0"/>
          <w:numId w:val="1"/>
        </w:numPr>
        <w:spacing w:after="80"/>
        <w:jc w:val="both"/>
      </w:pPr>
      <w:r>
        <w:rPr>
          <w:rFonts w:ascii="Times New Roman" w:cs="Times New Roman" w:eastAsia="Times New Roman" w:hAnsi="Times New Roman"/>
          <w:sz w:val="22"/>
          <w:szCs w:val="22"/>
        </w:rPr>
        <w:t xml:space="preserve">Conception de lotissements et insertion urbaine</w:t>
      </w:r>
    </w:p>
    <w:p>
      <w:pPr>
        <w:pStyle w:val="ListParagraph"/>
        <w:numPr>
          <w:ilvl w:val="0"/>
          <w:numId w:val="1"/>
        </w:numPr>
        <w:spacing w:after="80"/>
        <w:jc w:val="both"/>
      </w:pPr>
      <w:r>
        <w:rPr>
          <w:rFonts w:ascii="Times New Roman" w:cs="Times New Roman" w:eastAsia="Times New Roman" w:hAnsi="Times New Roman"/>
          <w:sz w:val="22"/>
          <w:szCs w:val="22"/>
        </w:rPr>
        <w:t xml:space="preserve">Stratégies de valorisation territoriale pour collectivités et investisseurs</w:t>
      </w:r>
    </w:p>
    <w:p>
      <w:pPr>
        <w:pStyle w:val="ListParagraph"/>
        <w:numPr>
          <w:ilvl w:val="0"/>
          <w:numId w:val="1"/>
        </w:numPr>
        <w:spacing w:after="80"/>
        <w:jc w:val="both"/>
      </w:pPr>
      <w:r>
        <w:rPr>
          <w:rFonts w:ascii="Times New Roman" w:cs="Times New Roman" w:eastAsia="Times New Roman" w:hAnsi="Times New Roman"/>
          <w:sz w:val="22"/>
          <w:szCs w:val="22"/>
        </w:rPr>
        <w:t xml:space="preserve">Analyse réglementaire et structuration d'opérations foncières complexes</w:t>
      </w:r>
    </w:p>
    <w:p>
      <w:pPr>
        <w:pBdr>
          <w:bottom w:val="single" w:color="241F1C" w:sz="4" w:space="4"/>
        </w:pBdr>
        <w:spacing w:after="140" w:before="320"/>
      </w:pPr>
      <w:r>
        <w:rPr>
          <w:rFonts w:ascii="Times New Roman" w:cs="Times New Roman" w:eastAsia="Times New Roman" w:hAnsi="Times New Roman"/>
          <w:b/>
          <w:bCs/>
          <w:sz w:val="24"/>
          <w:szCs w:val="24"/>
        </w:rPr>
        <w:t xml:space="preserve">Architecture et projets d'envergure</w:t>
      </w:r>
    </w:p>
    <w:p>
      <w:pPr>
        <w:pStyle w:val="ListParagraph"/>
        <w:numPr>
          <w:ilvl w:val="0"/>
          <w:numId w:val="1"/>
        </w:numPr>
        <w:spacing w:after="80"/>
        <w:jc w:val="both"/>
      </w:pPr>
      <w:r>
        <w:rPr>
          <w:rFonts w:ascii="Times New Roman" w:cs="Times New Roman" w:eastAsia="Times New Roman" w:hAnsi="Times New Roman"/>
          <w:sz w:val="22"/>
          <w:szCs w:val="22"/>
        </w:rPr>
        <w:t xml:space="preserve">Conception architecturale de bâtiments publics et équipements collectifs</w:t>
      </w:r>
    </w:p>
    <w:p>
      <w:pPr>
        <w:pStyle w:val="ListParagraph"/>
        <w:numPr>
          <w:ilvl w:val="0"/>
          <w:numId w:val="1"/>
        </w:numPr>
        <w:spacing w:after="80"/>
        <w:jc w:val="both"/>
      </w:pPr>
      <w:r>
        <w:rPr>
          <w:rFonts w:ascii="Times New Roman" w:cs="Times New Roman" w:eastAsia="Times New Roman" w:hAnsi="Times New Roman"/>
          <w:sz w:val="22"/>
          <w:szCs w:val="22"/>
        </w:rPr>
        <w:t xml:space="preserve">Coordination de projets multi-acteurs et institutionnels</w:t>
      </w:r>
    </w:p>
    <w:p>
      <w:pPr>
        <w:pStyle w:val="ListParagraph"/>
        <w:numPr>
          <w:ilvl w:val="0"/>
          <w:numId w:val="1"/>
        </w:numPr>
        <w:spacing w:after="80"/>
        <w:jc w:val="both"/>
      </w:pPr>
      <w:r>
        <w:rPr>
          <w:rFonts w:ascii="Times New Roman" w:cs="Times New Roman" w:eastAsia="Times New Roman" w:hAnsi="Times New Roman"/>
          <w:sz w:val="22"/>
          <w:szCs w:val="22"/>
        </w:rPr>
        <w:t xml:space="preserve">Maîtrise d'ouvrage déléguée et assistance à maîtrise d'ouvrage</w:t>
      </w:r>
    </w:p>
    <w:p>
      <w:pPr>
        <w:pStyle w:val="ListParagraph"/>
        <w:numPr>
          <w:ilvl w:val="0"/>
          <w:numId w:val="1"/>
        </w:numPr>
        <w:spacing w:after="80"/>
        <w:jc w:val="both"/>
      </w:pPr>
      <w:r>
        <w:rPr>
          <w:rFonts w:ascii="Times New Roman" w:cs="Times New Roman" w:eastAsia="Times New Roman" w:hAnsi="Times New Roman"/>
          <w:sz w:val="22"/>
          <w:szCs w:val="22"/>
        </w:rPr>
        <w:t xml:space="preserve">Audit, redressement et sécurisation de projets en difficulté</w:t>
      </w:r>
    </w:p>
    <w:p>
      <w:pPr>
        <w:pBdr>
          <w:bottom w:val="single" w:color="241F1C" w:sz="4" w:space="4"/>
        </w:pBdr>
        <w:spacing w:after="140" w:before="320"/>
      </w:pPr>
      <w:r>
        <w:rPr>
          <w:rFonts w:ascii="Times New Roman" w:cs="Times New Roman" w:eastAsia="Times New Roman" w:hAnsi="Times New Roman"/>
          <w:b/>
          <w:bCs/>
          <w:sz w:val="24"/>
          <w:szCs w:val="24"/>
        </w:rPr>
        <w:t xml:space="preserve">Valorisation du patrimoine</w:t>
      </w:r>
    </w:p>
    <w:p>
      <w:pPr>
        <w:pStyle w:val="ListParagraph"/>
        <w:numPr>
          <w:ilvl w:val="0"/>
          <w:numId w:val="1"/>
        </w:numPr>
        <w:spacing w:after="80"/>
        <w:jc w:val="both"/>
      </w:pPr>
      <w:r>
        <w:rPr>
          <w:rFonts w:ascii="Times New Roman" w:cs="Times New Roman" w:eastAsia="Times New Roman" w:hAnsi="Times New Roman"/>
          <w:sz w:val="22"/>
          <w:szCs w:val="22"/>
        </w:rPr>
        <w:t xml:space="preserve">Diagnostic patrimonial et lecture historique, constructive et matérielle</w:t>
      </w:r>
    </w:p>
    <w:p>
      <w:pPr>
        <w:pStyle w:val="ListParagraph"/>
        <w:numPr>
          <w:ilvl w:val="0"/>
          <w:numId w:val="1"/>
        </w:numPr>
        <w:spacing w:after="80"/>
        <w:jc w:val="both"/>
      </w:pPr>
      <w:r>
        <w:rPr>
          <w:rFonts w:ascii="Times New Roman" w:cs="Times New Roman" w:eastAsia="Times New Roman" w:hAnsi="Times New Roman"/>
          <w:sz w:val="22"/>
          <w:szCs w:val="22"/>
        </w:rPr>
        <w:t xml:space="preserve">Restauration, réhabilitation et reconversion de bâtiments anciens</w:t>
      </w:r>
    </w:p>
    <w:p>
      <w:pPr>
        <w:pStyle w:val="ListParagraph"/>
        <w:numPr>
          <w:ilvl w:val="0"/>
          <w:numId w:val="1"/>
        </w:numPr>
        <w:spacing w:after="80"/>
        <w:jc w:val="both"/>
      </w:pPr>
      <w:r>
        <w:rPr>
          <w:rFonts w:ascii="Times New Roman" w:cs="Times New Roman" w:eastAsia="Times New Roman" w:hAnsi="Times New Roman"/>
          <w:sz w:val="22"/>
          <w:szCs w:val="22"/>
        </w:rPr>
        <w:t xml:space="preserve">Valorisation territoriale de sites historiques, kasbahs et médinas</w:t>
      </w:r>
    </w:p>
    <w:p>
      <w:pPr>
        <w:pStyle w:val="ListParagraph"/>
        <w:numPr>
          <w:ilvl w:val="0"/>
          <w:numId w:val="1"/>
        </w:numPr>
        <w:spacing w:after="80"/>
        <w:jc w:val="both"/>
      </w:pPr>
      <w:r>
        <w:rPr>
          <w:rFonts w:ascii="Times New Roman" w:cs="Times New Roman" w:eastAsia="Times New Roman" w:hAnsi="Times New Roman"/>
          <w:sz w:val="22"/>
          <w:szCs w:val="22"/>
        </w:rPr>
        <w:t xml:space="preserve">Documentation, transmission et récit patrimonial</w:t>
      </w:r>
    </w:p>
    <w:p>
      <w:pPr>
        <w:pBdr>
          <w:bottom w:val="single" w:color="241F1C" w:sz="4" w:space="4"/>
        </w:pBdr>
        <w:spacing w:after="140" w:before="320"/>
      </w:pPr>
      <w:r>
        <w:rPr>
          <w:rFonts w:ascii="Times New Roman" w:cs="Times New Roman" w:eastAsia="Times New Roman" w:hAnsi="Times New Roman"/>
          <w:b/>
          <w:bCs/>
          <w:sz w:val="24"/>
          <w:szCs w:val="24"/>
        </w:rPr>
        <w:t xml:space="preserve">Gouvernance documentaire — notre signature transversale</w:t>
      </w:r>
    </w:p>
    <w:p>
      <w:pPr>
        <w:spacing w:after="160" w:line="300"/>
        <w:jc w:val="both"/>
      </w:pPr>
      <w:r>
        <w:rPr>
          <w:rFonts w:ascii="Times New Roman" w:cs="Times New Roman" w:eastAsia="Times New Roman" w:hAnsi="Times New Roman"/>
          <w:sz w:val="22"/>
          <w:szCs w:val="22"/>
        </w:rPr>
        <w:t xml:space="preserve">Sur les trois piliers, Archeritage applique une même exigence : structurer les responsabilités, documenter les décisions et sécuriser les arbitrages. Cette gouvernance documentaire est formalisée dans notre méthode propriétaire PATRIGOV (voir la page Méthode).</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Une expertise à mobiliser sur votre projet ?  →  Contactez Archeritage.</w:t>
      </w:r>
    </w:p>
    <w:p>
      <w:r>
        <w:br w:type="page"/>
      </w:r>
    </w:p>
    <w:p>
      <w:pPr>
        <w:spacing w:after="60" w:before="100"/>
      </w:pPr>
      <w:r>
        <w:rPr>
          <w:rFonts w:ascii="Times New Roman" w:cs="Times New Roman" w:eastAsia="Times New Roman" w:hAnsi="Times New Roman"/>
          <w:b/>
          <w:bCs/>
          <w:caps/>
          <w:color w:val="B5592D"/>
          <w:sz w:val="16"/>
          <w:szCs w:val="16"/>
        </w:rPr>
        <w:t xml:space="preserve">Page 4 — Missions</w:t>
      </w:r>
    </w:p>
    <w:p>
      <w:pPr>
        <w:spacing w:after="160" w:before="100"/>
      </w:pPr>
      <w:r>
        <w:rPr>
          <w:rFonts w:ascii="Times New Roman" w:cs="Times New Roman" w:eastAsia="Times New Roman" w:hAnsi="Times New Roman"/>
          <w:b/>
          <w:bCs/>
          <w:sz w:val="34"/>
          <w:szCs w:val="34"/>
        </w:rPr>
        <w:t xml:space="preserve">Comment Archeritage intervient sur vos projets</w:t>
      </w:r>
    </w:p>
    <w:p>
      <w:pPr>
        <w:spacing w:after="260"/>
      </w:pPr>
      <w:r>
        <w:rPr>
          <w:rFonts w:ascii="Times New Roman" w:cs="Times New Roman" w:eastAsia="Times New Roman" w:hAnsi="Times New Roman"/>
          <w:i/>
          <w:iCs/>
          <w:color w:val="B5592D"/>
          <w:sz w:val="24"/>
          <w:szCs w:val="24"/>
        </w:rPr>
        <w:t xml:space="preserve">Une intervention calibrée au niveau de complexité réel de votre opération — jamais une réponse standard.</w:t>
      </w:r>
    </w:p>
    <w:p>
      <w:pPr>
        <w:spacing w:after="160" w:line="300"/>
        <w:jc w:val="both"/>
      </w:pPr>
      <w:r>
        <w:rPr>
          <w:rFonts w:ascii="Times New Roman" w:cs="Times New Roman" w:eastAsia="Times New Roman" w:hAnsi="Times New Roman"/>
          <w:sz w:val="22"/>
          <w:szCs w:val="22"/>
        </w:rPr>
        <w:t xml:space="preserve">Archeritage accompagne les maîtres d'ouvrage publics et privés, institutions, collectivités et investisseurs à chaque étape de leurs projets, du foncier brut au monument classé.</w:t>
      </w:r>
    </w:p>
    <w:p>
      <w:pPr>
        <w:pBdr>
          <w:bottom w:val="single" w:color="241F1C" w:sz="4" w:space="4"/>
        </w:pBdr>
        <w:spacing w:after="140" w:before="320"/>
      </w:pPr>
      <w:r>
        <w:rPr>
          <w:rFonts w:ascii="Times New Roman" w:cs="Times New Roman" w:eastAsia="Times New Roman" w:hAnsi="Times New Roman"/>
          <w:b/>
          <w:bCs/>
          <w:sz w:val="24"/>
          <w:szCs w:val="24"/>
        </w:rPr>
        <w:t xml:space="preserve">Selon vos trois enjeux</w:t>
      </w:r>
    </w:p>
    <w:p>
      <w:pPr>
        <w:spacing w:after="100" w:before="200"/>
      </w:pPr>
      <w:r>
        <w:rPr>
          <w:rFonts w:ascii="Times New Roman" w:cs="Times New Roman" w:eastAsia="Times New Roman" w:hAnsi="Times New Roman"/>
          <w:b/>
          <w:bCs/>
          <w:sz w:val="22"/>
          <w:szCs w:val="22"/>
        </w:rPr>
        <w:t xml:space="preserve">Valoriser un foncier ou un territoire</w:t>
      </w:r>
    </w:p>
    <w:p>
      <w:pPr>
        <w:spacing w:after="160" w:line="300"/>
        <w:jc w:val="both"/>
      </w:pPr>
      <w:r>
        <w:rPr>
          <w:rFonts w:ascii="Times New Roman" w:cs="Times New Roman" w:eastAsia="Times New Roman" w:hAnsi="Times New Roman"/>
          <w:sz w:val="22"/>
          <w:szCs w:val="22"/>
        </w:rPr>
        <w:t xml:space="preserve">Étude de faisabilité, optimisation parcellaire, structuration d'une opération de lotissement, stratégie de valorisation territoriale — nous transformons un site en projet argumenté et finançable.</w:t>
      </w:r>
    </w:p>
    <w:p>
      <w:pPr>
        <w:spacing w:after="100" w:before="200"/>
      </w:pPr>
      <w:r>
        <w:rPr>
          <w:rFonts w:ascii="Times New Roman" w:cs="Times New Roman" w:eastAsia="Times New Roman" w:hAnsi="Times New Roman"/>
          <w:b/>
          <w:bCs/>
          <w:sz w:val="22"/>
          <w:szCs w:val="22"/>
        </w:rPr>
        <w:t xml:space="preserve">Construire ou transformer un projet d'envergure</w:t>
      </w:r>
    </w:p>
    <w:p>
      <w:pPr>
        <w:spacing w:after="160" w:line="300"/>
        <w:jc w:val="both"/>
      </w:pPr>
      <w:r>
        <w:rPr>
          <w:rFonts w:ascii="Times New Roman" w:cs="Times New Roman" w:eastAsia="Times New Roman" w:hAnsi="Times New Roman"/>
          <w:sz w:val="22"/>
          <w:szCs w:val="22"/>
        </w:rPr>
        <w:t xml:space="preserve">Conception, cadrage stratégique, assistance à maîtrise d'ouvrage, gouvernance de projet complexe — nous donnons aux opérations multi-acteurs une méthode de pilotage claire.</w:t>
      </w:r>
    </w:p>
    <w:p>
      <w:pPr>
        <w:spacing w:after="100" w:before="200"/>
      </w:pPr>
      <w:r>
        <w:rPr>
          <w:rFonts w:ascii="Times New Roman" w:cs="Times New Roman" w:eastAsia="Times New Roman" w:hAnsi="Times New Roman"/>
          <w:b/>
          <w:bCs/>
          <w:sz w:val="22"/>
          <w:szCs w:val="22"/>
        </w:rPr>
        <w:t xml:space="preserve">Restaurer ou valoriser un patrimoine</w:t>
      </w:r>
    </w:p>
    <w:p>
      <w:pPr>
        <w:spacing w:after="160" w:line="300"/>
        <w:jc w:val="both"/>
      </w:pPr>
      <w:r>
        <w:rPr>
          <w:rFonts w:ascii="Times New Roman" w:cs="Times New Roman" w:eastAsia="Times New Roman" w:hAnsi="Times New Roman"/>
          <w:sz w:val="22"/>
          <w:szCs w:val="22"/>
        </w:rPr>
        <w:t xml:space="preserve">Diagnostic patrimonial, restauration, réhabilitation, reconversion, valorisation territoriale — nous accompagnons chaque étape avec la rigueur qu'exige un site historique.</w:t>
      </w:r>
    </w:p>
    <w:p>
      <w:pPr>
        <w:pBdr>
          <w:bottom w:val="single" w:color="241F1C" w:sz="4" w:space="4"/>
        </w:pBdr>
        <w:spacing w:after="140" w:before="320"/>
      </w:pPr>
      <w:r>
        <w:rPr>
          <w:rFonts w:ascii="Times New Roman" w:cs="Times New Roman" w:eastAsia="Times New Roman" w:hAnsi="Times New Roman"/>
          <w:b/>
          <w:bCs/>
          <w:sz w:val="24"/>
          <w:szCs w:val="24"/>
        </w:rPr>
        <w:t xml:space="preserve">Selon votre besoin</w:t>
      </w:r>
    </w:p>
    <w:tbl>
      <w:tblPr>
        <w:tblW w:type="pct" w:w="100%"/>
        <w:tblBorders>
          <w:top w:val="single" w:color="241F1C" w:sz="2"/>
          <w:left w:val="single" w:color="241F1C" w:sz="2"/>
          <w:bottom w:val="single" w:color="241F1C" w:sz="2"/>
          <w:right w:val="single" w:color="241F1C" w:sz="2"/>
          <w:insideH w:val="single" w:color="241F1C" w:sz="2"/>
          <w:insideV w:val="single" w:color="241F1C" w:sz="2"/>
        </w:tblBorders>
      </w:tblPr>
      <w:tblGrid>
        <w:gridCol w:w="100"/>
        <w:gridCol w:w="100"/>
      </w:tblGrid>
      <w:tr>
        <w:tc>
          <w:tcPr>
            <w:tcW w:type="pct" w:w="30%"/>
            <w:tcMar>
              <w:top w:type="dxa" w:w="80"/>
              <w:left w:type="dxa" w:w="120"/>
              <w:bottom w:type="dxa" w:w="80"/>
              <w:right w:type="dxa" w:w="120"/>
            </w:tcMar>
          </w:tcPr>
          <w:p>
            <w:r>
              <w:rPr>
                <w:rFonts w:ascii="Times New Roman" w:cs="Times New Roman" w:eastAsia="Times New Roman" w:hAnsi="Times New Roman"/>
                <w:b/>
                <w:bCs/>
                <w:sz w:val="20"/>
                <w:szCs w:val="20"/>
              </w:rPr>
              <w:t xml:space="preserve">Format</w:t>
            </w:r>
          </w:p>
        </w:tc>
        <w:tc>
          <w:tcPr>
            <w:tcW w:type="pct" w:w="70%"/>
            <w:tcMar>
              <w:top w:type="dxa" w:w="80"/>
              <w:left w:type="dxa" w:w="120"/>
              <w:bottom w:type="dxa" w:w="80"/>
              <w:right w:type="dxa" w:w="120"/>
            </w:tcMar>
          </w:tcPr>
          <w:p>
            <w:r>
              <w:rPr>
                <w:rFonts w:ascii="Times New Roman" w:cs="Times New Roman" w:eastAsia="Times New Roman" w:hAnsi="Times New Roman"/>
                <w:b/>
                <w:bCs/>
                <w:sz w:val="20"/>
                <w:szCs w:val="20"/>
              </w:rPr>
              <w:t xml:space="preserve">Ce que nous produisons</w:t>
            </w:r>
          </w:p>
        </w:tc>
      </w:tr>
      <w:tr>
        <w:tc>
          <w:tcPr>
            <w:tcMar>
              <w:top w:type="dxa" w:w="80"/>
              <w:left w:type="dxa" w:w="120"/>
              <w:bottom w:type="dxa" w:w="80"/>
              <w:right w:type="dxa" w:w="120"/>
            </w:tcMar>
          </w:tcPr>
          <w:p>
            <w:r>
              <w:rPr>
                <w:rFonts w:ascii="Times New Roman" w:cs="Times New Roman" w:eastAsia="Times New Roman" w:hAnsi="Times New Roman"/>
                <w:sz w:val="20"/>
                <w:szCs w:val="20"/>
              </w:rPr>
              <w:t xml:space="preserve">Diagnostic flash</w:t>
            </w:r>
          </w:p>
        </w:tc>
        <w:tc>
          <w:tcPr>
            <w:tcMar>
              <w:top w:type="dxa" w:w="80"/>
              <w:left w:type="dxa" w:w="120"/>
              <w:bottom w:type="dxa" w:w="80"/>
              <w:right w:type="dxa" w:w="120"/>
            </w:tcMar>
          </w:tcPr>
          <w:p>
            <w:r>
              <w:rPr>
                <w:rFonts w:ascii="Times New Roman" w:cs="Times New Roman" w:eastAsia="Times New Roman" w:hAnsi="Times New Roman"/>
                <w:sz w:val="20"/>
                <w:szCs w:val="20"/>
              </w:rPr>
              <w:t xml:space="preserve">Lecture rapide d'une situation foncière, architecturale ou patrimoniale</w:t>
            </w:r>
          </w:p>
        </w:tc>
      </w:tr>
      <w:tr>
        <w:tc>
          <w:tcPr>
            <w:tcMar>
              <w:top w:type="dxa" w:w="80"/>
              <w:left w:type="dxa" w:w="120"/>
              <w:bottom w:type="dxa" w:w="80"/>
              <w:right w:type="dxa" w:w="120"/>
            </w:tcMar>
          </w:tcPr>
          <w:p>
            <w:r>
              <w:rPr>
                <w:rFonts w:ascii="Times New Roman" w:cs="Times New Roman" w:eastAsia="Times New Roman" w:hAnsi="Times New Roman"/>
                <w:sz w:val="20"/>
                <w:szCs w:val="20"/>
              </w:rPr>
              <w:t xml:space="preserve">Étude de faisabilité</w:t>
            </w:r>
          </w:p>
        </w:tc>
        <w:tc>
          <w:tcPr>
            <w:tcMar>
              <w:top w:type="dxa" w:w="80"/>
              <w:left w:type="dxa" w:w="120"/>
              <w:bottom w:type="dxa" w:w="80"/>
              <w:right w:type="dxa" w:w="120"/>
            </w:tcMar>
          </w:tcPr>
          <w:p>
            <w:r>
              <w:rPr>
                <w:rFonts w:ascii="Times New Roman" w:cs="Times New Roman" w:eastAsia="Times New Roman" w:hAnsi="Times New Roman"/>
                <w:sz w:val="20"/>
                <w:szCs w:val="20"/>
              </w:rPr>
              <w:t xml:space="preserve">Analyse du potentiel d'un site ou d'un projet avant décision</w:t>
            </w:r>
          </w:p>
        </w:tc>
      </w:tr>
      <w:tr>
        <w:tc>
          <w:tcPr>
            <w:tcMar>
              <w:top w:type="dxa" w:w="80"/>
              <w:left w:type="dxa" w:w="120"/>
              <w:bottom w:type="dxa" w:w="80"/>
              <w:right w:type="dxa" w:w="120"/>
            </w:tcMar>
          </w:tcPr>
          <w:p>
            <w:r>
              <w:rPr>
                <w:rFonts w:ascii="Times New Roman" w:cs="Times New Roman" w:eastAsia="Times New Roman" w:hAnsi="Times New Roman"/>
                <w:sz w:val="20"/>
                <w:szCs w:val="20"/>
              </w:rPr>
              <w:t xml:space="preserve">Assistance à maîtrise d'ouvrage</w:t>
            </w:r>
          </w:p>
        </w:tc>
        <w:tc>
          <w:tcPr>
            <w:tcMar>
              <w:top w:type="dxa" w:w="80"/>
              <w:left w:type="dxa" w:w="120"/>
              <w:bottom w:type="dxa" w:w="80"/>
              <w:right w:type="dxa" w:w="120"/>
            </w:tcMar>
          </w:tcPr>
          <w:p>
            <w:r>
              <w:rPr>
                <w:rFonts w:ascii="Times New Roman" w:cs="Times New Roman" w:eastAsia="Times New Roman" w:hAnsi="Times New Roman"/>
                <w:sz w:val="20"/>
                <w:szCs w:val="20"/>
              </w:rPr>
              <w:t xml:space="preserve">Accompagnement structuré des phases sensibles d'un projet</w:t>
            </w:r>
          </w:p>
        </w:tc>
      </w:tr>
      <w:tr>
        <w:tc>
          <w:tcPr>
            <w:tcMar>
              <w:top w:type="dxa" w:w="80"/>
              <w:left w:type="dxa" w:w="120"/>
              <w:bottom w:type="dxa" w:w="80"/>
              <w:right w:type="dxa" w:w="120"/>
            </w:tcMar>
          </w:tcPr>
          <w:p>
            <w:r>
              <w:rPr>
                <w:rFonts w:ascii="Times New Roman" w:cs="Times New Roman" w:eastAsia="Times New Roman" w:hAnsi="Times New Roman"/>
                <w:sz w:val="20"/>
                <w:szCs w:val="20"/>
              </w:rPr>
              <w:t xml:space="preserve">Audit et redressement</w:t>
            </w:r>
          </w:p>
        </w:tc>
        <w:tc>
          <w:tcPr>
            <w:tcMar>
              <w:top w:type="dxa" w:w="80"/>
              <w:left w:type="dxa" w:w="120"/>
              <w:bottom w:type="dxa" w:w="80"/>
              <w:right w:type="dxa" w:w="120"/>
            </w:tcMar>
          </w:tcPr>
          <w:p>
            <w:r>
              <w:rPr>
                <w:rFonts w:ascii="Times New Roman" w:cs="Times New Roman" w:eastAsia="Times New Roman" w:hAnsi="Times New Roman"/>
                <w:sz w:val="20"/>
                <w:szCs w:val="20"/>
              </w:rPr>
              <w:t xml:space="preserve">Remise sous contrôle d'un projet bloqué ou insuffisamment gouverné</w:t>
            </w:r>
          </w:p>
        </w:tc>
      </w:tr>
      <w:tr>
        <w:tc>
          <w:tcPr>
            <w:tcMar>
              <w:top w:type="dxa" w:w="80"/>
              <w:left w:type="dxa" w:w="120"/>
              <w:bottom w:type="dxa" w:w="80"/>
              <w:right w:type="dxa" w:w="120"/>
            </w:tcMar>
          </w:tcPr>
          <w:p>
            <w:r>
              <w:rPr>
                <w:rFonts w:ascii="Times New Roman" w:cs="Times New Roman" w:eastAsia="Times New Roman" w:hAnsi="Times New Roman"/>
                <w:sz w:val="20"/>
                <w:szCs w:val="20"/>
              </w:rPr>
              <w:t xml:space="preserve">Mission complète de gouvernance</w:t>
            </w:r>
          </w:p>
        </w:tc>
        <w:tc>
          <w:tcPr>
            <w:tcMar>
              <w:top w:type="dxa" w:w="80"/>
              <w:left w:type="dxa" w:w="120"/>
              <w:bottom w:type="dxa" w:w="80"/>
              <w:right w:type="dxa" w:w="120"/>
            </w:tcMar>
          </w:tcPr>
          <w:p>
            <w:r>
              <w:rPr>
                <w:rFonts w:ascii="Times New Roman" w:cs="Times New Roman" w:eastAsia="Times New Roman" w:hAnsi="Times New Roman"/>
                <w:sz w:val="20"/>
                <w:szCs w:val="20"/>
              </w:rPr>
              <w:t xml:space="preserve">Pilotage documentaire et opérationnel de bout en bout (méthode PATRIGOV)</w:t>
            </w:r>
          </w:p>
        </w:tc>
      </w:tr>
    </w:tbl>
    <w:p>
      <w:pPr>
        <w:spacing w:before="200"/>
      </w:pPr>
    </w:p>
    <w:p>
      <w:pPr>
        <w:pBdr>
          <w:bottom w:val="single" w:color="241F1C" w:sz="4" w:space="4"/>
        </w:pBdr>
        <w:spacing w:after="140" w:before="320"/>
      </w:pPr>
      <w:r>
        <w:rPr>
          <w:rFonts w:ascii="Times New Roman" w:cs="Times New Roman" w:eastAsia="Times New Roman" w:hAnsi="Times New Roman"/>
          <w:b/>
          <w:bCs/>
          <w:sz w:val="24"/>
          <w:szCs w:val="24"/>
        </w:rPr>
        <w:t xml:space="preserve">Pour qui</w:t>
      </w:r>
    </w:p>
    <w:p>
      <w:pPr>
        <w:spacing w:after="160" w:line="300"/>
        <w:jc w:val="both"/>
      </w:pPr>
      <w:r>
        <w:rPr>
          <w:rFonts w:ascii="Times New Roman" w:cs="Times New Roman" w:eastAsia="Times New Roman" w:hAnsi="Times New Roman"/>
          <w:sz w:val="22"/>
          <w:szCs w:val="22"/>
        </w:rPr>
        <w:t xml:space="preserve">Institutions publiques, collectivités territoriales, agences de développement, opérateurs privés, investisseurs fonciers et équipes de maîtrise d'œuvre confrontées à des opérations sensibles.</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Décrire votre projet →  Rendez-vous sur la page Contact.</w:t>
      </w:r>
    </w:p>
    <w:p>
      <w:r>
        <w:br w:type="page"/>
      </w:r>
    </w:p>
    <w:p>
      <w:pPr>
        <w:spacing w:after="60" w:before="100"/>
      </w:pPr>
      <w:r>
        <w:rPr>
          <w:rFonts w:ascii="Times New Roman" w:cs="Times New Roman" w:eastAsia="Times New Roman" w:hAnsi="Times New Roman"/>
          <w:b/>
          <w:bCs/>
          <w:caps/>
          <w:color w:val="B5592D"/>
          <w:sz w:val="16"/>
          <w:szCs w:val="16"/>
        </w:rPr>
        <w:t xml:space="preserve">Page 5 — Méthode</w:t>
      </w:r>
    </w:p>
    <w:p>
      <w:pPr>
        <w:spacing w:after="160" w:before="100"/>
      </w:pPr>
      <w:r>
        <w:rPr>
          <w:rFonts w:ascii="Times New Roman" w:cs="Times New Roman" w:eastAsia="Times New Roman" w:hAnsi="Times New Roman"/>
          <w:b/>
          <w:bCs/>
          <w:sz w:val="34"/>
          <w:szCs w:val="34"/>
        </w:rPr>
        <w:t xml:space="preserve">PATRIGOV by Archeritage</w:t>
      </w:r>
    </w:p>
    <w:p>
      <w:pPr>
        <w:spacing w:after="260"/>
      </w:pPr>
      <w:r>
        <w:rPr>
          <w:rFonts w:ascii="Times New Roman" w:cs="Times New Roman" w:eastAsia="Times New Roman" w:hAnsi="Times New Roman"/>
          <w:i/>
          <w:iCs/>
          <w:color w:val="B5592D"/>
          <w:sz w:val="24"/>
          <w:szCs w:val="24"/>
        </w:rPr>
        <w:t xml:space="preserve">La méthode propriétaire qui transforme la complexité d'un projet en système lisible, documenté et maîtrisable.</w:t>
      </w:r>
    </w:p>
    <w:p>
      <w:pPr>
        <w:spacing w:after="160" w:line="300"/>
        <w:jc w:val="both"/>
      </w:pPr>
      <w:r>
        <w:rPr>
          <w:rFonts w:ascii="Times New Roman" w:cs="Times New Roman" w:eastAsia="Times New Roman" w:hAnsi="Times New Roman"/>
          <w:sz w:val="22"/>
          <w:szCs w:val="22"/>
        </w:rPr>
        <w:t xml:space="preserve">Les projets fonciers, architecturaux et patrimoniaux complexes ne se pilotent pas par la seule présence sur site. Ils exigent une méthode capable de structurer les responsabilités, fiabiliser les validations, documenter les décisions et donner au maître d'ouvrage une vision claire de l'état réel du projet.</w:t>
      </w:r>
    </w:p>
    <w:p>
      <w:pPr>
        <w:pBdr>
          <w:left w:val="single" w:color="B5592D" w:sz="12" w:space="8"/>
        </w:pBdr>
        <w:shd w:fill="F5F1E8" w:val="clear"/>
        <w:spacing w:after="200" w:before="120"/>
        <w:ind w:left="200"/>
        <w:jc w:val="both"/>
      </w:pPr>
      <w:r>
        <w:rPr>
          <w:rFonts w:ascii="Times New Roman" w:cs="Times New Roman" w:eastAsia="Times New Roman" w:hAnsi="Times New Roman"/>
          <w:i/>
          <w:iCs/>
          <w:sz w:val="20"/>
          <w:szCs w:val="20"/>
        </w:rPr>
        <w:t xml:space="preserve">Preuve de méthode : sur une opération de restauration patrimoniale pilotée par le fondateur, l'application de cette gouvernance documentaire a permis de transformer 116 jours de retards jusque-là non documentés en droits contractuels opposables — un exemple concret de ce que la méthode apporte à un maître d'ouvrage.</w:t>
      </w:r>
    </w:p>
    <w:p>
      <w:pPr>
        <w:pBdr>
          <w:bottom w:val="single" w:color="241F1C" w:sz="4" w:space="4"/>
        </w:pBdr>
        <w:spacing w:after="140" w:before="320"/>
      </w:pPr>
      <w:r>
        <w:rPr>
          <w:rFonts w:ascii="Times New Roman" w:cs="Times New Roman" w:eastAsia="Times New Roman" w:hAnsi="Times New Roman"/>
          <w:b/>
          <w:bCs/>
          <w:sz w:val="24"/>
          <w:szCs w:val="24"/>
        </w:rPr>
        <w:t xml:space="preserve">Sept principes</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1</w:t>
            </w:r>
          </w:p>
          <w:p>
            <w:pPr>
              <w:jc w:val="center"/>
            </w:pPr>
            <w:r>
              <w:rPr>
                <w:rFonts w:ascii="Times New Roman" w:cs="Times New Roman" w:eastAsia="Times New Roman" w:hAnsi="Times New Roman"/>
                <w:color w:val="5A5A5A"/>
                <w:sz w:val="18"/>
                <w:szCs w:val="18"/>
              </w:rPr>
              <w:t xml:space="preserve">Clarifier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2</w:t>
            </w:r>
          </w:p>
          <w:p>
            <w:pPr>
              <w:jc w:val="center"/>
            </w:pPr>
            <w:r>
              <w:rPr>
                <w:rFonts w:ascii="Times New Roman" w:cs="Times New Roman" w:eastAsia="Times New Roman" w:hAnsi="Times New Roman"/>
                <w:color w:val="5A5A5A"/>
                <w:sz w:val="18"/>
                <w:szCs w:val="18"/>
              </w:rPr>
              <w:t xml:space="preserve">Documenter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3</w:t>
            </w:r>
          </w:p>
          <w:p>
            <w:pPr>
              <w:jc w:val="center"/>
            </w:pPr>
            <w:r>
              <w:rPr>
                <w:rFonts w:ascii="Times New Roman" w:cs="Times New Roman" w:eastAsia="Times New Roman" w:hAnsi="Times New Roman"/>
                <w:color w:val="5A5A5A"/>
                <w:sz w:val="18"/>
                <w:szCs w:val="18"/>
              </w:rPr>
              <w:t xml:space="preserve">Hiérarchiser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4</w:t>
            </w:r>
          </w:p>
          <w:p>
            <w:pPr>
              <w:jc w:val="center"/>
            </w:pPr>
            <w:r>
              <w:rPr>
                <w:rFonts w:ascii="Times New Roman" w:cs="Times New Roman" w:eastAsia="Times New Roman" w:hAnsi="Times New Roman"/>
                <w:color w:val="5A5A5A"/>
                <w:sz w:val="18"/>
                <w:szCs w:val="18"/>
              </w:rPr>
              <w:t xml:space="preserve">Sécuriser</w:t>
            </w:r>
          </w:p>
        </w:tc>
      </w:tr>
    </w:tbl>
    <w:tbl>
      <w:tblPr>
        <w:tblW w:type="pct" w:w="100%"/>
        <w:tblBorders>
          <w:top w:val="none"/>
          <w:left w:val="none"/>
          <w:bottom w:val="none"/>
          <w:right w:val="none"/>
          <w:insideH w:val="none"/>
          <w:insideV w:val="none"/>
        </w:tblBorders>
      </w:tblPr>
      <w:tblGrid>
        <w:gridCol w:w="100"/>
        <w:gridCol w:w="100"/>
        <w:gridCol w:w="100"/>
        <w:gridCol w:w="100"/>
      </w:tblGrid>
      <w:tr>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5</w:t>
            </w:r>
          </w:p>
          <w:p>
            <w:pPr>
              <w:jc w:val="center"/>
            </w:pPr>
            <w:r>
              <w:rPr>
                <w:rFonts w:ascii="Times New Roman" w:cs="Times New Roman" w:eastAsia="Times New Roman" w:hAnsi="Times New Roman"/>
                <w:color w:val="5A5A5A"/>
                <w:sz w:val="18"/>
                <w:szCs w:val="18"/>
              </w:rPr>
              <w:t xml:space="preserve">Piloter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6</w:t>
            </w:r>
          </w:p>
          <w:p>
            <w:pPr>
              <w:jc w:val="center"/>
            </w:pPr>
            <w:r>
              <w:rPr>
                <w:rFonts w:ascii="Times New Roman" w:cs="Times New Roman" w:eastAsia="Times New Roman" w:hAnsi="Times New Roman"/>
                <w:color w:val="5A5A5A"/>
                <w:sz w:val="18"/>
                <w:szCs w:val="18"/>
              </w:rPr>
              <w:t xml:space="preserve">Alerter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7</w:t>
            </w:r>
          </w:p>
          <w:p>
            <w:pPr>
              <w:jc w:val="center"/>
            </w:pPr>
            <w:r>
              <w:rPr>
                <w:rFonts w:ascii="Times New Roman" w:cs="Times New Roman" w:eastAsia="Times New Roman" w:hAnsi="Times New Roman"/>
                <w:color w:val="5A5A5A"/>
                <w:sz w:val="18"/>
                <w:szCs w:val="18"/>
              </w:rPr>
              <w:t xml:space="preserve">Capitaliser</w:t>
            </w:r>
          </w:p>
        </w:tc>
        <w:tc>
          <w:tcPr>
            <w:tcW w:type="pct" w:w="25%"/>
            <w:tcMar>
              <w:top w:type="dxa" w:w="100"/>
              <w:left w:type="dxa" w:w="100"/>
              <w:bottom w:type="dxa" w:w="100"/>
              <w:right w:type="dxa" w:w="100"/>
            </w:tcMar>
          </w:tcPr>
          <w:p>
            <w:pPr>
              <w:jc w:val="center"/>
            </w:pPr>
            <w:r>
              <w:rPr>
                <w:rFonts w:ascii="Times New Roman" w:cs="Times New Roman" w:eastAsia="Times New Roman" w:hAnsi="Times New Roman"/>
                <w:b/>
                <w:bCs/>
                <w:color w:val="B5592D"/>
                <w:sz w:val="30"/>
                <w:szCs w:val="30"/>
              </w:rPr>
              <w:t xml:space="preserve"/>
            </w:r>
          </w:p>
          <w:p>
            <w:pPr>
              <w:jc w:val="center"/>
            </w:pPr>
            <w:r>
              <w:rPr>
                <w:rFonts w:ascii="Times New Roman" w:cs="Times New Roman" w:eastAsia="Times New Roman" w:hAnsi="Times New Roman"/>
                <w:color w:val="5A5A5A"/>
                <w:sz w:val="18"/>
                <w:szCs w:val="18"/>
              </w:rPr>
              <w:t xml:space="preserve"/>
            </w:r>
          </w:p>
        </w:tc>
      </w:tr>
    </w:tbl>
    <w:p>
      <w:pPr>
        <w:pBdr>
          <w:bottom w:val="single" w:color="241F1C" w:sz="4" w:space="4"/>
        </w:pBdr>
        <w:spacing w:after="140" w:before="320"/>
      </w:pPr>
      <w:r>
        <w:rPr>
          <w:rFonts w:ascii="Times New Roman" w:cs="Times New Roman" w:eastAsia="Times New Roman" w:hAnsi="Times New Roman"/>
          <w:b/>
          <w:bCs/>
          <w:sz w:val="24"/>
          <w:szCs w:val="24"/>
        </w:rPr>
        <w:t xml:space="preserve">Un cycle en six temps</w:t>
      </w:r>
    </w:p>
    <w:p>
      <w:pPr>
        <w:pStyle w:val="ListParagraph"/>
        <w:numPr>
          <w:ilvl w:val="0"/>
          <w:numId w:val="1"/>
        </w:numPr>
        <w:spacing w:after="80"/>
        <w:jc w:val="both"/>
      </w:pPr>
      <w:r>
        <w:rPr>
          <w:rFonts w:ascii="Times New Roman" w:cs="Times New Roman" w:eastAsia="Times New Roman" w:hAnsi="Times New Roman"/>
          <w:sz w:val="22"/>
          <w:szCs w:val="22"/>
        </w:rPr>
        <w:t xml:space="preserve">Comprendre le contexte — acteurs, cadre institutionnel, documents existants</w:t>
      </w:r>
    </w:p>
    <w:p>
      <w:pPr>
        <w:pStyle w:val="ListParagraph"/>
        <w:numPr>
          <w:ilvl w:val="0"/>
          <w:numId w:val="1"/>
        </w:numPr>
        <w:spacing w:after="80"/>
        <w:jc w:val="both"/>
      </w:pPr>
      <w:r>
        <w:rPr>
          <w:rFonts w:ascii="Times New Roman" w:cs="Times New Roman" w:eastAsia="Times New Roman" w:hAnsi="Times New Roman"/>
          <w:sz w:val="22"/>
          <w:szCs w:val="22"/>
        </w:rPr>
        <w:t xml:space="preserve">Diagnostiquer la situation — risques, zones de flou, écarts documentaires</w:t>
      </w:r>
    </w:p>
    <w:p>
      <w:pPr>
        <w:pStyle w:val="ListParagraph"/>
        <w:numPr>
          <w:ilvl w:val="0"/>
          <w:numId w:val="1"/>
        </w:numPr>
        <w:spacing w:after="80"/>
        <w:jc w:val="both"/>
      </w:pPr>
      <w:r>
        <w:rPr>
          <w:rFonts w:ascii="Times New Roman" w:cs="Times New Roman" w:eastAsia="Times New Roman" w:hAnsi="Times New Roman"/>
          <w:sz w:val="22"/>
          <w:szCs w:val="22"/>
        </w:rPr>
        <w:t xml:space="preserve">Structurer le cadre — circuits de validation, matrices de responsabilités</w:t>
      </w:r>
    </w:p>
    <w:p>
      <w:pPr>
        <w:pStyle w:val="ListParagraph"/>
        <w:numPr>
          <w:ilvl w:val="0"/>
          <w:numId w:val="1"/>
        </w:numPr>
        <w:spacing w:after="80"/>
        <w:jc w:val="both"/>
      </w:pPr>
      <w:r>
        <w:rPr>
          <w:rFonts w:ascii="Times New Roman" w:cs="Times New Roman" w:eastAsia="Times New Roman" w:hAnsi="Times New Roman"/>
          <w:sz w:val="22"/>
          <w:szCs w:val="22"/>
        </w:rPr>
        <w:t xml:space="preserve">Accompagner la mise en œuvre — outils, réunions, formalisation des décisions</w:t>
      </w:r>
    </w:p>
    <w:p>
      <w:pPr>
        <w:pStyle w:val="ListParagraph"/>
        <w:numPr>
          <w:ilvl w:val="0"/>
          <w:numId w:val="1"/>
        </w:numPr>
        <w:spacing w:after="80"/>
        <w:jc w:val="both"/>
      </w:pPr>
      <w:r>
        <w:rPr>
          <w:rFonts w:ascii="Times New Roman" w:cs="Times New Roman" w:eastAsia="Times New Roman" w:hAnsi="Times New Roman"/>
          <w:sz w:val="22"/>
          <w:szCs w:val="22"/>
        </w:rPr>
        <w:t xml:space="preserve">Suivre, alerter, ajuster — lecture continue des écarts et des risques</w:t>
      </w:r>
    </w:p>
    <w:p>
      <w:pPr>
        <w:pStyle w:val="ListParagraph"/>
        <w:numPr>
          <w:ilvl w:val="0"/>
          <w:numId w:val="1"/>
        </w:numPr>
        <w:spacing w:after="80"/>
        <w:jc w:val="both"/>
      </w:pPr>
      <w:r>
        <w:rPr>
          <w:rFonts w:ascii="Times New Roman" w:cs="Times New Roman" w:eastAsia="Times New Roman" w:hAnsi="Times New Roman"/>
          <w:sz w:val="22"/>
          <w:szCs w:val="22"/>
        </w:rPr>
        <w:t xml:space="preserve">Capitaliser et transmettre — synthèse de fin de mission, mémoire durable</w:t>
      </w:r>
    </w:p>
    <w:p>
      <w:pPr>
        <w:pBdr>
          <w:bottom w:val="single" w:color="241F1C" w:sz="4" w:space="4"/>
        </w:pBdr>
        <w:spacing w:after="140" w:before="320"/>
      </w:pPr>
      <w:r>
        <w:rPr>
          <w:rFonts w:ascii="Times New Roman" w:cs="Times New Roman" w:eastAsia="Times New Roman" w:hAnsi="Times New Roman"/>
          <w:b/>
          <w:bCs/>
          <w:sz w:val="24"/>
          <w:szCs w:val="24"/>
        </w:rPr>
        <w:t xml:space="preserve">Une méthode propriétaire</w:t>
      </w:r>
    </w:p>
    <w:p>
      <w:pPr>
        <w:spacing w:after="160" w:line="300"/>
        <w:jc w:val="both"/>
      </w:pPr>
      <w:r>
        <w:rPr>
          <w:rFonts w:ascii="Times New Roman" w:cs="Times New Roman" w:eastAsia="Times New Roman" w:hAnsi="Times New Roman"/>
          <w:sz w:val="22"/>
          <w:szCs w:val="22"/>
        </w:rPr>
        <w:t xml:space="preserve">PATRIGOV constitue une méthode propriétaire du cabinet. Les grandes lignes sont présentées publiquement ; les outils détaillés, matrices et dispositifs avancés sont communiqués dans le cadre de missions formalisées.</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Évaluer la méthode adaptée à votre projet →  Contactez Archeritage.</w:t>
      </w:r>
    </w:p>
    <w:p>
      <w:r>
        <w:br w:type="page"/>
      </w:r>
    </w:p>
    <w:p>
      <w:pPr>
        <w:spacing w:after="60" w:before="100"/>
      </w:pPr>
      <w:r>
        <w:rPr>
          <w:rFonts w:ascii="Times New Roman" w:cs="Times New Roman" w:eastAsia="Times New Roman" w:hAnsi="Times New Roman"/>
          <w:b/>
          <w:bCs/>
          <w:caps/>
          <w:color w:val="B5592D"/>
          <w:sz w:val="16"/>
          <w:szCs w:val="16"/>
        </w:rPr>
        <w:t xml:space="preserve">Page 6 — Références</w:t>
      </w:r>
    </w:p>
    <w:p>
      <w:pPr>
        <w:spacing w:after="160" w:before="100"/>
      </w:pPr>
      <w:r>
        <w:rPr>
          <w:rFonts w:ascii="Times New Roman" w:cs="Times New Roman" w:eastAsia="Times New Roman" w:hAnsi="Times New Roman"/>
          <w:b/>
          <w:bCs/>
          <w:sz w:val="34"/>
          <w:szCs w:val="34"/>
        </w:rPr>
        <w:t xml:space="preserve">Une expérience construite à l'intersection du foncier, de l'architecture et du patrimoine</w:t>
      </w:r>
    </w:p>
    <w:p>
      <w:pPr>
        <w:spacing w:after="260"/>
      </w:pPr>
      <w:r>
        <w:rPr>
          <w:rFonts w:ascii="Times New Roman" w:cs="Times New Roman" w:eastAsia="Times New Roman" w:hAnsi="Times New Roman"/>
          <w:i/>
          <w:iCs/>
          <w:color w:val="B5592D"/>
          <w:sz w:val="24"/>
          <w:szCs w:val="24"/>
        </w:rPr>
        <w:t xml:space="preserve">35 ans de projets publics, institutionnels et patrimoniaux — le socle sur lequel Archeritage s'appuie.</w:t>
      </w:r>
    </w:p>
    <w:p>
      <w:pPr>
        <w:spacing w:after="160" w:line="300"/>
        <w:jc w:val="both"/>
      </w:pPr>
      <w:r>
        <w:rPr>
          <w:rFonts w:ascii="Times New Roman" w:cs="Times New Roman" w:eastAsia="Times New Roman" w:hAnsi="Times New Roman"/>
          <w:sz w:val="22"/>
          <w:szCs w:val="22"/>
        </w:rPr>
        <w:t xml:space="preserve">Le fondateur d'Archeritage a construit son parcours autour de projets territoriaux, patrimoniaux et institutionnels, avec une attention constante portée à la qualité architecturale et à la maîtrise d'ouvrage. Les références ci-dessous relèvent de cette expérience fondatrice ; les projets conduits directement sous l'enseigne Archeritage viendront enrichir cette page au fil des missions.</w:t>
      </w:r>
    </w:p>
    <w:p>
      <w:pPr>
        <w:pBdr>
          <w:bottom w:val="single" w:color="241F1C" w:sz="4" w:space="4"/>
        </w:pBdr>
        <w:spacing w:after="140" w:before="320"/>
      </w:pPr>
      <w:r>
        <w:rPr>
          <w:rFonts w:ascii="Times New Roman" w:cs="Times New Roman" w:eastAsia="Times New Roman" w:hAnsi="Times New Roman"/>
          <w:b/>
          <w:bCs/>
          <w:sz w:val="24"/>
          <w:szCs w:val="24"/>
        </w:rPr>
        <w:t xml:space="preserve">Missions patrimoniales significatives</w:t>
      </w:r>
    </w:p>
    <w:p>
      <w:pPr>
        <w:spacing w:after="100" w:before="200"/>
      </w:pPr>
      <w:r>
        <w:rPr>
          <w:rFonts w:ascii="Times New Roman" w:cs="Times New Roman" w:eastAsia="Times New Roman" w:hAnsi="Times New Roman"/>
          <w:b/>
          <w:bCs/>
          <w:sz w:val="22"/>
          <w:szCs w:val="22"/>
        </w:rPr>
        <w:t xml:space="preserve">Mosquée de Tinmel — Ministère des Habous</w:t>
      </w:r>
    </w:p>
    <w:p>
      <w:pPr>
        <w:spacing w:after="160" w:line="300"/>
        <w:jc w:val="both"/>
      </w:pPr>
      <w:r>
        <w:rPr>
          <w:rFonts w:ascii="Times New Roman" w:cs="Times New Roman" w:eastAsia="Times New Roman" w:hAnsi="Times New Roman"/>
          <w:sz w:val="22"/>
          <w:szCs w:val="22"/>
        </w:rPr>
        <w:t xml:space="preserve">Restauration d'un édifice historique majeur du Haut Atlas, mobilisant lecture historique, coordination technique et gouvernance documentaire du chantier.</w:t>
      </w:r>
    </w:p>
    <w:p>
      <w:pPr>
        <w:spacing w:after="100" w:before="200"/>
      </w:pPr>
      <w:r>
        <w:rPr>
          <w:rFonts w:ascii="Times New Roman" w:cs="Times New Roman" w:eastAsia="Times New Roman" w:hAnsi="Times New Roman"/>
          <w:b/>
          <w:bCs/>
          <w:sz w:val="22"/>
          <w:szCs w:val="22"/>
        </w:rPr>
        <w:t xml:space="preserve">Kasbah de Tiznit et Place Mechouar</w:t>
      </w:r>
    </w:p>
    <w:p>
      <w:pPr>
        <w:spacing w:after="160" w:line="300"/>
        <w:jc w:val="both"/>
      </w:pPr>
      <w:r>
        <w:rPr>
          <w:rFonts w:ascii="Times New Roman" w:cs="Times New Roman" w:eastAsia="Times New Roman" w:hAnsi="Times New Roman"/>
          <w:sz w:val="22"/>
          <w:szCs w:val="22"/>
        </w:rPr>
        <w:t xml:space="preserve">Valorisation patrimoniale d'un ensemble historique urbain, entre restauration et mise en usage contemporaine.</w:t>
      </w:r>
    </w:p>
    <w:p>
      <w:pPr>
        <w:spacing w:after="100" w:before="200"/>
      </w:pPr>
      <w:r>
        <w:rPr>
          <w:rFonts w:ascii="Times New Roman" w:cs="Times New Roman" w:eastAsia="Times New Roman" w:hAnsi="Times New Roman"/>
          <w:b/>
          <w:bCs/>
          <w:sz w:val="22"/>
          <w:szCs w:val="22"/>
        </w:rPr>
        <w:t xml:space="preserve">Théâtre Cervantès — Tanger (APDN)</w:t>
      </w:r>
    </w:p>
    <w:p>
      <w:pPr>
        <w:spacing w:after="160" w:line="300"/>
        <w:jc w:val="both"/>
      </w:pPr>
      <w:r>
        <w:rPr>
          <w:rFonts w:ascii="Times New Roman" w:cs="Times New Roman" w:eastAsia="Times New Roman" w:hAnsi="Times New Roman"/>
          <w:sz w:val="22"/>
          <w:szCs w:val="22"/>
        </w:rPr>
        <w:t xml:space="preserve">Accompagnement d'une opération de réhabilitation d'un patrimoine architectural du XXe siècle, sous maîtrise d'ouvrage de l'Agence de promotion et de développement du Nord.</w:t>
      </w:r>
    </w:p>
    <w:p>
      <w:pPr>
        <w:spacing w:after="100" w:before="200"/>
      </w:pPr>
      <w:r>
        <w:rPr>
          <w:rFonts w:ascii="Times New Roman" w:cs="Times New Roman" w:eastAsia="Times New Roman" w:hAnsi="Times New Roman"/>
          <w:b/>
          <w:bCs/>
          <w:sz w:val="22"/>
          <w:szCs w:val="22"/>
        </w:rPr>
        <w:t xml:space="preserve">Murailles portugaises et Château de Mer — Safi</w:t>
      </w:r>
    </w:p>
    <w:p>
      <w:pPr>
        <w:spacing w:after="160" w:line="300"/>
        <w:jc w:val="both"/>
      </w:pPr>
      <w:r>
        <w:rPr>
          <w:rFonts w:ascii="Times New Roman" w:cs="Times New Roman" w:eastAsia="Times New Roman" w:hAnsi="Times New Roman"/>
          <w:sz w:val="22"/>
          <w:szCs w:val="22"/>
        </w:rPr>
        <w:t xml:space="preserve">Intervention sur un monument classé du XVIe siècle, en lien avec la Direction régionale de la Culture.</w:t>
      </w:r>
    </w:p>
    <w:p>
      <w:pPr>
        <w:pBdr>
          <w:bottom w:val="single" w:color="241F1C" w:sz="4" w:space="4"/>
        </w:pBdr>
        <w:spacing w:after="140" w:before="320"/>
      </w:pPr>
      <w:r>
        <w:rPr>
          <w:rFonts w:ascii="Times New Roman" w:cs="Times New Roman" w:eastAsia="Times New Roman" w:hAnsi="Times New Roman"/>
          <w:b/>
          <w:bCs/>
          <w:sz w:val="24"/>
          <w:szCs w:val="24"/>
        </w:rPr>
        <w:t xml:space="preserve">Expérience institutionnelle fondatrice</w:t>
      </w:r>
    </w:p>
    <w:p>
      <w:pPr>
        <w:spacing w:after="160" w:line="300"/>
        <w:jc w:val="both"/>
      </w:pPr>
      <w:r>
        <w:rPr>
          <w:rFonts w:ascii="Times New Roman" w:cs="Times New Roman" w:eastAsia="Times New Roman" w:hAnsi="Times New Roman"/>
          <w:sz w:val="22"/>
          <w:szCs w:val="22"/>
        </w:rPr>
        <w:t xml:space="preserve">Point focal technique pour l'obtention du premier prêt de la Banque mondiale accordé à une ville de l'envergure de Casablanca ; collaboration avec l'UNESCO et le PNUD sur la sauvegarde de la Médina de Fès ; fonctions de direction générale des services au sein de collectivités marocaines.</w:t>
      </w:r>
    </w:p>
    <w:p>
      <w:pPr>
        <w:pBdr>
          <w:bottom w:val="single" w:color="241F1C" w:sz="4" w:space="4"/>
        </w:pBdr>
        <w:spacing w:after="140" w:before="320"/>
      </w:pPr>
      <w:r>
        <w:rPr>
          <w:rFonts w:ascii="Times New Roman" w:cs="Times New Roman" w:eastAsia="Times New Roman" w:hAnsi="Times New Roman"/>
          <w:b/>
          <w:bCs/>
          <w:sz w:val="24"/>
          <w:szCs w:val="24"/>
        </w:rPr>
        <w:t xml:space="preserve">Études de cas</w:t>
      </w:r>
    </w:p>
    <w:p>
      <w:pPr>
        <w:spacing w:after="160" w:line="300"/>
        <w:jc w:val="both"/>
      </w:pPr>
      <w:r>
        <w:rPr>
          <w:rFonts w:ascii="Times New Roman" w:cs="Times New Roman" w:eastAsia="Times New Roman" w:hAnsi="Times New Roman"/>
          <w:sz w:val="22"/>
          <w:szCs w:val="22"/>
        </w:rPr>
        <w:t xml:space="preserve">Des études de cas détaillées — contexte, enjeux, méthode mobilisée, livrables, enseignements — seront publiées progressivement pour les missions pouvant être présentées publiquement.</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Discuter d'une référence ou d'un projet similaire →  Contactez Archeritage.</w:t>
      </w:r>
    </w:p>
    <w:p>
      <w:r>
        <w:br w:type="page"/>
      </w:r>
    </w:p>
    <w:p>
      <w:pPr>
        <w:spacing w:after="60" w:before="100"/>
      </w:pPr>
      <w:r>
        <w:rPr>
          <w:rFonts w:ascii="Times New Roman" w:cs="Times New Roman" w:eastAsia="Times New Roman" w:hAnsi="Times New Roman"/>
          <w:b/>
          <w:bCs/>
          <w:caps/>
          <w:color w:val="B5592D"/>
          <w:sz w:val="16"/>
          <w:szCs w:val="16"/>
        </w:rPr>
        <w:t xml:space="preserve">Page 7 — Journal</w:t>
      </w:r>
    </w:p>
    <w:p>
      <w:pPr>
        <w:spacing w:after="160" w:before="100"/>
      </w:pPr>
      <w:r>
        <w:rPr>
          <w:rFonts w:ascii="Times New Roman" w:cs="Times New Roman" w:eastAsia="Times New Roman" w:hAnsi="Times New Roman"/>
          <w:b/>
          <w:bCs/>
          <w:sz w:val="34"/>
          <w:szCs w:val="34"/>
        </w:rPr>
        <w:t xml:space="preserve">Journal Archeritage</w:t>
      </w:r>
    </w:p>
    <w:p>
      <w:pPr>
        <w:spacing w:after="260"/>
      </w:pPr>
      <w:r>
        <w:rPr>
          <w:rFonts w:ascii="Times New Roman" w:cs="Times New Roman" w:eastAsia="Times New Roman" w:hAnsi="Times New Roman"/>
          <w:i/>
          <w:iCs/>
          <w:color w:val="B5592D"/>
          <w:sz w:val="24"/>
          <w:szCs w:val="24"/>
        </w:rPr>
        <w:t xml:space="preserve">Pensées, notes et regards sur l'architecture, le patrimoine et les projets complexes.</w:t>
      </w:r>
    </w:p>
    <w:p>
      <w:pPr>
        <w:spacing w:after="160" w:line="300"/>
        <w:jc w:val="both"/>
      </w:pPr>
      <w:r>
        <w:rPr>
          <w:rFonts w:ascii="Times New Roman" w:cs="Times New Roman" w:eastAsia="Times New Roman" w:hAnsi="Times New Roman"/>
          <w:sz w:val="22"/>
          <w:szCs w:val="22"/>
        </w:rPr>
        <w:t xml:space="preserve">Le Journal rassemble les réflexions, notes de doctrine et retours d'expérience du cabinet. Ligne éditoriale : publier peu, mais publier juste.</w:t>
      </w:r>
    </w:p>
    <w:p>
      <w:pPr>
        <w:pBdr>
          <w:bottom w:val="single" w:color="241F1C" w:sz="4" w:space="4"/>
        </w:pBdr>
        <w:spacing w:after="140" w:before="320"/>
      </w:pPr>
      <w:r>
        <w:rPr>
          <w:rFonts w:ascii="Times New Roman" w:cs="Times New Roman" w:eastAsia="Times New Roman" w:hAnsi="Times New Roman"/>
          <w:b/>
          <w:bCs/>
          <w:sz w:val="24"/>
          <w:szCs w:val="24"/>
        </w:rPr>
        <w:t xml:space="preserve">Premières publications à lancer</w:t>
      </w:r>
    </w:p>
    <w:p>
      <w:pPr>
        <w:spacing w:after="100" w:before="200"/>
      </w:pPr>
      <w:r>
        <w:rPr>
          <w:rFonts w:ascii="Times New Roman" w:cs="Times New Roman" w:eastAsia="Times New Roman" w:hAnsi="Times New Roman"/>
          <w:b/>
          <w:bCs/>
          <w:sz w:val="22"/>
          <w:szCs w:val="22"/>
        </w:rPr>
        <w:t xml:space="preserve">« Valorisation foncière : ce qu'un diagnostic préalable change vraiment »</w:t>
      </w:r>
    </w:p>
    <w:p>
      <w:pPr>
        <w:spacing w:after="160" w:line="300"/>
        <w:jc w:val="both"/>
      </w:pPr>
      <w:r>
        <w:rPr>
          <w:rFonts w:ascii="Times New Roman" w:cs="Times New Roman" w:eastAsia="Times New Roman" w:hAnsi="Times New Roman"/>
          <w:sz w:val="22"/>
          <w:szCs w:val="22"/>
        </w:rPr>
        <w:t xml:space="preserve">Note de doctrine sur la valeur d'une étude de faisabilité avant toute décision foncière.</w:t>
      </w:r>
    </w:p>
    <w:p>
      <w:pPr>
        <w:spacing w:after="100" w:before="200"/>
      </w:pPr>
      <w:r>
        <w:rPr>
          <w:rFonts w:ascii="Times New Roman" w:cs="Times New Roman" w:eastAsia="Times New Roman" w:hAnsi="Times New Roman"/>
          <w:b/>
          <w:bCs/>
          <w:sz w:val="22"/>
          <w:szCs w:val="22"/>
        </w:rPr>
        <w:t xml:space="preserve">« Tinmel : documenter 116 jours de retard pour sécuriser un chantier patrimonial »</w:t>
      </w:r>
    </w:p>
    <w:p>
      <w:pPr>
        <w:spacing w:after="160" w:line="300"/>
        <w:jc w:val="both"/>
      </w:pPr>
      <w:r>
        <w:rPr>
          <w:rFonts w:ascii="Times New Roman" w:cs="Times New Roman" w:eastAsia="Times New Roman" w:hAnsi="Times New Roman"/>
          <w:sz w:val="22"/>
          <w:szCs w:val="22"/>
        </w:rPr>
        <w:t xml:space="preserve">Retour d'expérience sur l'application de la gouvernance documentaire à un chantier de restauration réel.</w:t>
      </w:r>
    </w:p>
    <w:p>
      <w:pPr>
        <w:spacing w:after="100" w:before="200"/>
      </w:pPr>
      <w:r>
        <w:rPr>
          <w:rFonts w:ascii="Times New Roman" w:cs="Times New Roman" w:eastAsia="Times New Roman" w:hAnsi="Times New Roman"/>
          <w:b/>
          <w:bCs/>
          <w:sz w:val="22"/>
          <w:szCs w:val="22"/>
        </w:rPr>
        <w:t xml:space="preserve">« Restauration, réhabilitation, reconversion : trois mots que l'on confond à tort »</w:t>
      </w:r>
    </w:p>
    <w:p>
      <w:pPr>
        <w:spacing w:after="160" w:line="300"/>
        <w:jc w:val="both"/>
      </w:pPr>
      <w:r>
        <w:rPr>
          <w:rFonts w:ascii="Times New Roman" w:cs="Times New Roman" w:eastAsia="Times New Roman" w:hAnsi="Times New Roman"/>
          <w:sz w:val="22"/>
          <w:szCs w:val="22"/>
        </w:rPr>
        <w:t xml:space="preserve">Note de doctrine clarifiant une distinction essentielle pour tout maître d'ouvrage patrimonial.</w:t>
      </w:r>
    </w:p>
    <w:p>
      <w:pPr>
        <w:pBdr>
          <w:bottom w:val="single" w:color="241F1C" w:sz="4" w:space="4"/>
        </w:pBdr>
        <w:spacing w:after="140" w:before="320"/>
      </w:pPr>
      <w:r>
        <w:rPr>
          <w:rFonts w:ascii="Times New Roman" w:cs="Times New Roman" w:eastAsia="Times New Roman" w:hAnsi="Times New Roman"/>
          <w:b/>
          <w:bCs/>
          <w:sz w:val="24"/>
          <w:szCs w:val="24"/>
        </w:rPr>
        <w:t xml:space="preserve">Rubriques</w:t>
      </w:r>
    </w:p>
    <w:p>
      <w:pPr>
        <w:pStyle w:val="ListParagraph"/>
        <w:numPr>
          <w:ilvl w:val="0"/>
          <w:numId w:val="1"/>
        </w:numPr>
        <w:spacing w:after="80"/>
        <w:jc w:val="both"/>
      </w:pPr>
      <w:r>
        <w:rPr>
          <w:rFonts w:ascii="Times New Roman" w:cs="Times New Roman" w:eastAsia="Times New Roman" w:hAnsi="Times New Roman"/>
          <w:sz w:val="22"/>
          <w:szCs w:val="22"/>
        </w:rPr>
        <w:t xml:space="preserve">Notes de doctrine — positions professionnelles d'Archeritage</w:t>
      </w:r>
    </w:p>
    <w:p>
      <w:pPr>
        <w:pStyle w:val="ListParagraph"/>
        <w:numPr>
          <w:ilvl w:val="0"/>
          <w:numId w:val="1"/>
        </w:numPr>
        <w:spacing w:after="80"/>
        <w:jc w:val="both"/>
      </w:pPr>
      <w:r>
        <w:rPr>
          <w:rFonts w:ascii="Times New Roman" w:cs="Times New Roman" w:eastAsia="Times New Roman" w:hAnsi="Times New Roman"/>
          <w:sz w:val="22"/>
          <w:szCs w:val="22"/>
        </w:rPr>
        <w:t xml:space="preserve">Regards sur le patrimoine — lectures de lieux et de sites</w:t>
      </w:r>
    </w:p>
    <w:p>
      <w:pPr>
        <w:pStyle w:val="ListParagraph"/>
        <w:numPr>
          <w:ilvl w:val="0"/>
          <w:numId w:val="1"/>
        </w:numPr>
        <w:spacing w:after="80"/>
        <w:jc w:val="both"/>
      </w:pPr>
      <w:r>
        <w:rPr>
          <w:rFonts w:ascii="Times New Roman" w:cs="Times New Roman" w:eastAsia="Times New Roman" w:hAnsi="Times New Roman"/>
          <w:sz w:val="22"/>
          <w:szCs w:val="22"/>
        </w:rPr>
        <w:t xml:space="preserve">Carnets de projets — fragments de démarche issus de missions réelles</w:t>
      </w:r>
    </w:p>
    <w:p>
      <w:pPr>
        <w:pStyle w:val="ListParagraph"/>
        <w:numPr>
          <w:ilvl w:val="0"/>
          <w:numId w:val="1"/>
        </w:numPr>
        <w:spacing w:after="80"/>
        <w:jc w:val="both"/>
      </w:pPr>
      <w:r>
        <w:rPr>
          <w:rFonts w:ascii="Times New Roman" w:cs="Times New Roman" w:eastAsia="Times New Roman" w:hAnsi="Times New Roman"/>
          <w:sz w:val="22"/>
          <w:szCs w:val="22"/>
        </w:rPr>
        <w:t xml:space="preserve">Méthode et gouvernance — les principes de PATRIGOV expliqués</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Être informé des prochaines publications →  Contactez Archeritage.</w:t>
      </w:r>
    </w:p>
    <w:p>
      <w:r>
        <w:br w:type="page"/>
      </w:r>
    </w:p>
    <w:p>
      <w:pPr>
        <w:spacing w:after="60" w:before="100"/>
      </w:pPr>
      <w:r>
        <w:rPr>
          <w:rFonts w:ascii="Times New Roman" w:cs="Times New Roman" w:eastAsia="Times New Roman" w:hAnsi="Times New Roman"/>
          <w:b/>
          <w:bCs/>
          <w:caps/>
          <w:color w:val="B5592D"/>
          <w:sz w:val="16"/>
          <w:szCs w:val="16"/>
        </w:rPr>
        <w:t xml:space="preserve">Page 8 — Contact</w:t>
      </w:r>
    </w:p>
    <w:p>
      <w:pPr>
        <w:spacing w:after="160" w:before="100"/>
      </w:pPr>
      <w:r>
        <w:rPr>
          <w:rFonts w:ascii="Times New Roman" w:cs="Times New Roman" w:eastAsia="Times New Roman" w:hAnsi="Times New Roman"/>
          <w:b/>
          <w:bCs/>
          <w:sz w:val="34"/>
          <w:szCs w:val="34"/>
        </w:rPr>
        <w:t xml:space="preserve">Parler d'un projet avec Archeritage</w:t>
      </w:r>
    </w:p>
    <w:p>
      <w:pPr>
        <w:spacing w:after="260"/>
      </w:pPr>
      <w:r>
        <w:rPr>
          <w:rFonts w:ascii="Times New Roman" w:cs="Times New Roman" w:eastAsia="Times New Roman" w:hAnsi="Times New Roman"/>
          <w:i/>
          <w:iCs/>
          <w:color w:val="B5592D"/>
          <w:sz w:val="24"/>
          <w:szCs w:val="24"/>
        </w:rPr>
        <w:t xml:space="preserve">Un premier échange, sous 48 heures, pour clarifier le contexte, les enjeux et la forme d'accompagnement la plus adaptée.</w:t>
      </w:r>
    </w:p>
    <w:p>
      <w:pPr>
        <w:spacing w:after="160" w:line="300"/>
        <w:jc w:val="both"/>
      </w:pPr>
      <w:r>
        <w:rPr>
          <w:rFonts w:ascii="Times New Roman" w:cs="Times New Roman" w:eastAsia="Times New Roman" w:hAnsi="Times New Roman"/>
          <w:sz w:val="22"/>
          <w:szCs w:val="22"/>
        </w:rPr>
        <w:t xml:space="preserve">Vous portez un projet foncier, architectural ou patrimonial ? Vous souhaitez valoriser un site, structurer une opération complexe ou sécuriser un chantier ? Archeritage étudie chaque demande avec rigueur et confidentialité.</w:t>
      </w:r>
    </w:p>
    <w:p>
      <w:pPr>
        <w:pBdr>
          <w:bottom w:val="single" w:color="241F1C" w:sz="4" w:space="4"/>
        </w:pBdr>
        <w:spacing w:after="140" w:before="320"/>
      </w:pPr>
      <w:r>
        <w:rPr>
          <w:rFonts w:ascii="Times New Roman" w:cs="Times New Roman" w:eastAsia="Times New Roman" w:hAnsi="Times New Roman"/>
          <w:b/>
          <w:bCs/>
          <w:sz w:val="24"/>
          <w:szCs w:val="24"/>
        </w:rPr>
        <w:t xml:space="preserve">Nous solliciter pour</w:t>
      </w:r>
    </w:p>
    <w:p>
      <w:pPr>
        <w:pStyle w:val="ListParagraph"/>
        <w:numPr>
          <w:ilvl w:val="0"/>
          <w:numId w:val="1"/>
        </w:numPr>
        <w:spacing w:after="80"/>
        <w:jc w:val="both"/>
      </w:pPr>
      <w:r>
        <w:rPr>
          <w:rFonts w:ascii="Times New Roman" w:cs="Times New Roman" w:eastAsia="Times New Roman" w:hAnsi="Times New Roman"/>
          <w:sz w:val="22"/>
          <w:szCs w:val="22"/>
        </w:rPr>
        <w:t xml:space="preserve">une étude de faisabilité foncière ou une valorisation territoriale ;</w:t>
      </w:r>
    </w:p>
    <w:p>
      <w:pPr>
        <w:pStyle w:val="ListParagraph"/>
        <w:numPr>
          <w:ilvl w:val="0"/>
          <w:numId w:val="1"/>
        </w:numPr>
        <w:spacing w:after="80"/>
        <w:jc w:val="both"/>
      </w:pPr>
      <w:r>
        <w:rPr>
          <w:rFonts w:ascii="Times New Roman" w:cs="Times New Roman" w:eastAsia="Times New Roman" w:hAnsi="Times New Roman"/>
          <w:sz w:val="22"/>
          <w:szCs w:val="22"/>
        </w:rPr>
        <w:t xml:space="preserve">un projet architectural ou une opération complexe multi-acteurs ;</w:t>
      </w:r>
    </w:p>
    <w:p>
      <w:pPr>
        <w:pStyle w:val="ListParagraph"/>
        <w:numPr>
          <w:ilvl w:val="0"/>
          <w:numId w:val="1"/>
        </w:numPr>
        <w:spacing w:after="80"/>
        <w:jc w:val="both"/>
      </w:pPr>
      <w:r>
        <w:rPr>
          <w:rFonts w:ascii="Times New Roman" w:cs="Times New Roman" w:eastAsia="Times New Roman" w:hAnsi="Times New Roman"/>
          <w:sz w:val="22"/>
          <w:szCs w:val="22"/>
        </w:rPr>
        <w:t xml:space="preserve">un diagnostic, une restauration ou une réhabilitation patrimoniale ;</w:t>
      </w:r>
    </w:p>
    <w:p>
      <w:pPr>
        <w:pStyle w:val="ListParagraph"/>
        <w:numPr>
          <w:ilvl w:val="0"/>
          <w:numId w:val="1"/>
        </w:numPr>
        <w:spacing w:after="80"/>
        <w:jc w:val="both"/>
      </w:pPr>
      <w:r>
        <w:rPr>
          <w:rFonts w:ascii="Times New Roman" w:cs="Times New Roman" w:eastAsia="Times New Roman" w:hAnsi="Times New Roman"/>
          <w:sz w:val="22"/>
          <w:szCs w:val="22"/>
        </w:rPr>
        <w:t xml:space="preserve">une assistance à maîtrise d'ouvrage ou un audit de projet ;</w:t>
      </w:r>
    </w:p>
    <w:p>
      <w:pPr>
        <w:pStyle w:val="ListParagraph"/>
        <w:numPr>
          <w:ilvl w:val="0"/>
          <w:numId w:val="1"/>
        </w:numPr>
        <w:spacing w:after="80"/>
        <w:jc w:val="both"/>
      </w:pPr>
      <w:r>
        <w:rPr>
          <w:rFonts w:ascii="Times New Roman" w:cs="Times New Roman" w:eastAsia="Times New Roman" w:hAnsi="Times New Roman"/>
          <w:sz w:val="22"/>
          <w:szCs w:val="22"/>
        </w:rPr>
        <w:t xml:space="preserve">un partenariat, une intervention ou une contribution professionnelle.</w:t>
      </w:r>
    </w:p>
    <w:p>
      <w:pPr>
        <w:pBdr>
          <w:bottom w:val="single" w:color="241F1C" w:sz="4" w:space="4"/>
        </w:pBdr>
        <w:spacing w:after="140" w:before="320"/>
      </w:pPr>
      <w:r>
        <w:rPr>
          <w:rFonts w:ascii="Times New Roman" w:cs="Times New Roman" w:eastAsia="Times New Roman" w:hAnsi="Times New Roman"/>
          <w:b/>
          <w:bCs/>
          <w:sz w:val="24"/>
          <w:szCs w:val="24"/>
        </w:rPr>
        <w:t xml:space="preserve">Décrire votre projet</w:t>
      </w:r>
    </w:p>
    <w:p>
      <w:pPr>
        <w:spacing w:after="160" w:line="300"/>
        <w:jc w:val="both"/>
      </w:pPr>
      <w:r>
        <w:rPr>
          <w:rFonts w:ascii="Times New Roman" w:cs="Times New Roman" w:eastAsia="Times New Roman" w:hAnsi="Times New Roman"/>
          <w:sz w:val="22"/>
          <w:szCs w:val="22"/>
        </w:rPr>
        <w:t xml:space="preserve">Nature du projet, localisation, maître d'ouvrage, stade d'avancement, objectifs, contraintes, délais, documents disponibles. Ces éléments permettent de préparer un premier échange directement utile.</w:t>
      </w:r>
    </w:p>
    <w:p>
      <w:pPr>
        <w:pBdr>
          <w:bottom w:val="single" w:color="241F1C" w:sz="4" w:space="4"/>
        </w:pBdr>
        <w:spacing w:after="140" w:before="320"/>
      </w:pPr>
      <w:r>
        <w:rPr>
          <w:rFonts w:ascii="Times New Roman" w:cs="Times New Roman" w:eastAsia="Times New Roman" w:hAnsi="Times New Roman"/>
          <w:b/>
          <w:bCs/>
          <w:sz w:val="24"/>
          <w:szCs w:val="24"/>
        </w:rPr>
        <w:t xml:space="preserve">Coordonnées</w:t>
      </w:r>
    </w:p>
    <w:p>
      <w:pPr>
        <w:spacing w:after="160" w:line="300"/>
        <w:jc w:val="both"/>
      </w:pPr>
      <w:r>
        <w:rPr>
          <w:rFonts w:ascii="Times New Roman" w:cs="Times New Roman" w:eastAsia="Times New Roman" w:hAnsi="Times New Roman"/>
          <w:sz w:val="22"/>
          <w:szCs w:val="22"/>
        </w:rPr>
        <w:t xml:space="preserve">Archeritage — Cabinet d'architecture, valorisation foncière et patrimoine
Fondateur : Ahmed Taoufik Naciri, architecte
Ville : Casablanca, Maroc
Email : [à compléter]
Téléphone : [à compléter]</w:t>
      </w:r>
    </w:p>
    <w:p>
      <w:pPr>
        <w:pBdr>
          <w:bottom w:val="single" w:color="241F1C" w:sz="4" w:space="4"/>
        </w:pBdr>
        <w:spacing w:after="140" w:before="320"/>
      </w:pPr>
      <w:r>
        <w:rPr>
          <w:rFonts w:ascii="Times New Roman" w:cs="Times New Roman" w:eastAsia="Times New Roman" w:hAnsi="Times New Roman"/>
          <w:b/>
          <w:bCs/>
          <w:sz w:val="24"/>
          <w:szCs w:val="24"/>
        </w:rPr>
        <w:t xml:space="preserve">Confidentialité</w:t>
      </w:r>
    </w:p>
    <w:p>
      <w:pPr>
        <w:spacing w:after="160" w:line="300"/>
        <w:jc w:val="both"/>
      </w:pPr>
      <w:r>
        <w:rPr>
          <w:rFonts w:ascii="Times New Roman" w:cs="Times New Roman" w:eastAsia="Times New Roman" w:hAnsi="Times New Roman"/>
          <w:sz w:val="22"/>
          <w:szCs w:val="22"/>
        </w:rPr>
        <w:t xml:space="preserve">Les documents, plans et données transmis sont utilisés exclusivement pour comprendre votre demande. Un cadre de confidentialité spécifique peut être établi avant tout partage approfondi.</w:t>
      </w:r>
    </w:p>
    <w:p>
      <w:pPr>
        <w:pBdr>
          <w:top w:val="single" w:color="B5592D" w:sz="2" w:space="8"/>
          <w:bottom w:val="single" w:color="B5592D" w:sz="2" w:space="8"/>
        </w:pBdr>
        <w:spacing w:after="100" w:before="240"/>
      </w:pPr>
      <w:r>
        <w:rPr>
          <w:rFonts w:ascii="Times New Roman" w:cs="Times New Roman" w:eastAsia="Times New Roman" w:hAnsi="Times New Roman"/>
          <w:b/>
          <w:bCs/>
          <w:color w:val="B5592D"/>
          <w:sz w:val="22"/>
          <w:szCs w:val="22"/>
        </w:rPr>
        <w:t xml:space="preserve">Envoyer ma demande →  Formulaire de contact ci-dessous.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5A5A"/>
        <w:sz w:val="16"/>
        <w:szCs w:val="16"/>
      </w:rPr>
      <w:t xml:space="preserve">ARCHERITAGE — Contenus du site (version enrichie)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2026-07-15T09:11:37.538Z</dcterms:created>
  <dcterms:modified xsi:type="dcterms:W3CDTF">2026-07-15T09:11:37.555Z</dcterms:modified>
</cp:coreProperties>
</file>

<file path=docProps/custom.xml><?xml version="1.0" encoding="utf-8"?>
<Properties xmlns="http://schemas.openxmlformats.org/officeDocument/2006/custom-properties" xmlns:vt="http://schemas.openxmlformats.org/officeDocument/2006/docPropsVTypes"/>
</file>