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Caprylyl/Capryl Wheat Bran/Straw Glycosides</w:t>
      </w:r>
    </w:p>
    <w:p>
      <w:pPr>
        <w:pStyle w:val="Heading2"/>
      </w:pPr>
      <w:r>
        <w:t>Overview</w:t>
      </w:r>
    </w:p>
    <w:p>
      <w:r>
        <w:t>Caprylyl/Capryl Wheat Bran/Straw Glycosides is commonly used in cosmetic formulations for its unique properties.</w:t>
      </w:r>
    </w:p>
    <w:p>
      <w:pPr>
        <w:pStyle w:val="Heading2"/>
      </w:pPr>
      <w:r>
        <w:t>History</w:t>
      </w:r>
    </w:p>
    <w:p>
      <w:r>
        <w:t>Caprylyl/Capryl Wheat Bran/Straw Glycosides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12/06/2025</w:t>
      </w:r>
    </w:p>
    <w:p>
      <w:pPr>
        <w:pStyle w:val="Heading2"/>
      </w:pPr>
      <w:r>
        <w:t>Manufacturer &amp; Country of Origin</w:t>
      </w:r>
    </w:p>
    <w:p>
      <w:r>
        <w:t>Manufacturer: DKSH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Caprylyl/Capryl Wheat Bran/Straw Glycosides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