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Rosmarinus Officinalis (Rosemary) Leaf Extract</w:t>
      </w:r>
    </w:p>
    <w:p>
      <w:pPr>
        <w:pStyle w:val="Heading2"/>
      </w:pPr>
      <w:r>
        <w:t>Overview</w:t>
      </w:r>
    </w:p>
    <w:p>
      <w:r>
        <w:t>Rosmarinus Officinalis (Rosemary) Leaf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Rosmarinus Officinalis (Rosemary) Leaf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14/06/2025</w:t>
      </w:r>
    </w:p>
    <w:p>
      <w:pPr>
        <w:pStyle w:val="Heading2"/>
      </w:pPr>
      <w:r>
        <w:t>Manufacturer &amp; Country of Origin</w:t>
      </w:r>
    </w:p>
    <w:p>
      <w:r>
        <w:t>Manufacturer: Codif Technology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Rosmarinus Officinalis (Rosemary) Leaf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Codif Technology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