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eb8d5830a016d2026030bd5b21ece92ef92fb51"/>
    <w:p>
      <w:pPr>
        <w:pStyle w:val="Heading1"/>
      </w:pPr>
      <w:r>
        <w:t xml:space="preserve">Supplementary Methods S7 — Closed-genome PL25_M23 homologue survey and focused phylogeny</w:t>
      </w:r>
    </w:p>
    <w:p>
      <w:pPr>
        <w:pStyle w:val="FirstParagraph"/>
      </w:pPr>
      <w:r>
        <w:rPr>
          <w:b/>
          <w:bCs/>
        </w:rPr>
        <w:t xml:space="preserve">Closed-genome survey.</w:t>
      </w:r>
      <w:r>
        <w:t xml:space="preserve"> </w:t>
      </w:r>
      <w:r>
        <w:t xml:space="preserve">For each of the 250 BLASTp hits, source assemblies were retrieved from the NCBI Identical Protein Group (IPG) report (</w:t>
      </w:r>
      <w:r>
        <w:rPr>
          <w:rStyle w:val="VerbatimChar"/>
        </w:rPr>
        <w:t xml:space="preserve">efetch -db protein -rettype ipg -retmode xml</w:t>
      </w:r>
      <w:r>
        <w:t xml:space="preserve">). Assemblies were retained only if their</w:t>
      </w:r>
      <w:r>
        <w:t xml:space="preserve"> </w:t>
      </w:r>
      <w:r>
        <w:rPr>
          <w:rStyle w:val="VerbatimChar"/>
        </w:rPr>
        <w:t xml:space="preserve">assembly_level</w:t>
      </w:r>
      <w:r>
        <w:t xml:space="preserve"> </w:t>
      </w:r>
      <w:r>
        <w:t xml:space="preserve">was</w:t>
      </w:r>
      <w:r>
        <w:t xml:space="preserve"> </w:t>
      </w:r>
      <w:r>
        <w:rPr>
          <w:rStyle w:val="VerbatimChar"/>
        </w:rPr>
        <w:t xml:space="preserve">Complete Genome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Chromosome</w:t>
      </w:r>
      <w:r>
        <w:t xml:space="preserve"> </w:t>
      </w:r>
      <w:r>
        <w:t xml:space="preserve">(</w:t>
      </w:r>
      <w:r>
        <w:rPr>
          <w:rStyle w:val="VerbatimChar"/>
        </w:rPr>
        <w:t xml:space="preserve">esummary -db assembly</w:t>
      </w:r>
      <w:r>
        <w:t xml:space="preserve">) and their source genus matched a curated list of halotolerant Bacillaceae:</w:t>
      </w:r>
      <w:r>
        <w:t xml:space="preserve"> </w:t>
      </w:r>
      <w:r>
        <w:rPr>
          <w:i/>
          <w:iCs/>
        </w:rPr>
        <w:t xml:space="preserve">Halobacillus</w:t>
      </w:r>
      <w:r>
        <w:t xml:space="preserve">,</w:t>
      </w:r>
      <w:r>
        <w:t xml:space="preserve"> </w:t>
      </w:r>
      <w:r>
        <w:rPr>
          <w:i/>
          <w:iCs/>
        </w:rPr>
        <w:t xml:space="preserve">Lentibacillus</w:t>
      </w:r>
      <w:r>
        <w:t xml:space="preserve">,</w:t>
      </w:r>
      <w:r>
        <w:t xml:space="preserve"> </w:t>
      </w:r>
      <w:r>
        <w:rPr>
          <w:i/>
          <w:iCs/>
        </w:rPr>
        <w:t xml:space="preserve">Virgibacillus</w:t>
      </w:r>
      <w:r>
        <w:t xml:space="preserve">,</w:t>
      </w:r>
      <w:r>
        <w:t xml:space="preserve"> </w:t>
      </w:r>
      <w:r>
        <w:rPr>
          <w:i/>
          <w:iCs/>
        </w:rPr>
        <w:t xml:space="preserve">Gracilibacillus</w:t>
      </w:r>
      <w:r>
        <w:t xml:space="preserve">,</w:t>
      </w:r>
      <w:r>
        <w:t xml:space="preserve"> </w:t>
      </w:r>
      <w:r>
        <w:rPr>
          <w:i/>
          <w:iCs/>
        </w:rPr>
        <w:t xml:space="preserve">Oceanobacillus</w:t>
      </w:r>
      <w:r>
        <w:t xml:space="preserve">,</w:t>
      </w:r>
      <w:r>
        <w:t xml:space="preserve"> </w:t>
      </w:r>
      <w:r>
        <w:rPr>
          <w:i/>
          <w:iCs/>
        </w:rPr>
        <w:t xml:space="preserve">Cytobacillus</w:t>
      </w:r>
      <w:r>
        <w:t xml:space="preserve">,</w:t>
      </w:r>
      <w:r>
        <w:t xml:space="preserve"> </w:t>
      </w:r>
      <w:r>
        <w:rPr>
          <w:i/>
          <w:iCs/>
        </w:rPr>
        <w:t xml:space="preserve">Ornithinibacillus</w:t>
      </w:r>
      <w:r>
        <w:t xml:space="preserve">,</w:t>
      </w:r>
      <w:r>
        <w:t xml:space="preserve"> </w:t>
      </w:r>
      <w:r>
        <w:rPr>
          <w:i/>
          <w:iCs/>
        </w:rPr>
        <w:t xml:space="preserve">Salinicoccus</w:t>
      </w:r>
      <w:r>
        <w:t xml:space="preserve">,</w:t>
      </w:r>
      <w:r>
        <w:t xml:space="preserve"> </w:t>
      </w:r>
      <w:r>
        <w:rPr>
          <w:i/>
          <w:iCs/>
        </w:rPr>
        <w:t xml:space="preserve">Salimicrobium</w:t>
      </w:r>
      <w:r>
        <w:t xml:space="preserve">,</w:t>
      </w:r>
      <w:r>
        <w:t xml:space="preserve"> </w:t>
      </w:r>
      <w:r>
        <w:rPr>
          <w:i/>
          <w:iCs/>
        </w:rPr>
        <w:t xml:space="preserve">Aquibacillus</w:t>
      </w:r>
      <w:r>
        <w:t xml:space="preserve">,</w:t>
      </w:r>
      <w:r>
        <w:t xml:space="preserve"> </w:t>
      </w:r>
      <w:r>
        <w:rPr>
          <w:i/>
          <w:iCs/>
        </w:rPr>
        <w:t xml:space="preserve">Pontibacillus</w:t>
      </w:r>
      <w:r>
        <w:t xml:space="preserve">,</w:t>
      </w:r>
      <w:r>
        <w:t xml:space="preserve"> </w:t>
      </w:r>
      <w:r>
        <w:rPr>
          <w:i/>
          <w:iCs/>
        </w:rPr>
        <w:t xml:space="preserve">Halolactibacillus</w:t>
      </w:r>
      <w:r>
        <w:t xml:space="preserve">,</w:t>
      </w:r>
      <w:r>
        <w:t xml:space="preserve"> </w:t>
      </w:r>
      <w:r>
        <w:rPr>
          <w:i/>
          <w:iCs/>
        </w:rPr>
        <w:t xml:space="preserve">Salibacillus</w:t>
      </w:r>
      <w:r>
        <w:t xml:space="preserve">,</w:t>
      </w:r>
      <w:r>
        <w:t xml:space="preserve"> </w:t>
      </w:r>
      <w:r>
        <w:rPr>
          <w:i/>
          <w:iCs/>
        </w:rPr>
        <w:t xml:space="preserve">Salinibacillus</w:t>
      </w:r>
      <w:r>
        <w:t xml:space="preserve">,</w:t>
      </w:r>
      <w:r>
        <w:t xml:space="preserve"> </w:t>
      </w:r>
      <w:r>
        <w:rPr>
          <w:i/>
          <w:iCs/>
        </w:rPr>
        <w:t xml:space="preserve">Salirhabdus</w:t>
      </w:r>
      <w:r>
        <w:t xml:space="preserve">. Replicon type was assigned by searching the source nucleotide FASTA defline for</w:t>
      </w:r>
      <w:r>
        <w:t xml:space="preserve"> </w:t>
      </w:r>
      <w:r>
        <w:rPr>
          <w:i/>
          <w:iCs/>
        </w:rPr>
        <w:t xml:space="preserve">“plasmid”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“chromosome”</w:t>
      </w:r>
      <w:r>
        <w:t xml:space="preserve">. Fourteen assemblies passed both filters (Supplementary Table S5).</w:t>
      </w:r>
    </w:p>
    <w:p>
      <w:pPr>
        <w:pStyle w:val="BodyText"/>
      </w:pPr>
      <w:r>
        <w:rPr>
          <w:b/>
          <w:bCs/>
        </w:rPr>
        <w:t xml:space="preserve">Focused phylogeny.</w:t>
      </w:r>
      <w:r>
        <w:t xml:space="preserve"> </w:t>
      </w:r>
      <w:r>
        <w:t xml:space="preserve">Full-length protein sequences of the 14 homologues, PL25_M23, and lysostaphin (UniProt P10547) were aligned with MAFFT v7.526 (</w:t>
      </w:r>
      <w:r>
        <w:rPr>
          <w:rStyle w:val="VerbatimChar"/>
        </w:rPr>
        <w:t xml:space="preserve">--auto</w:t>
      </w:r>
      <w:r>
        <w:t xml:space="preserve">; 1,071 columns), trimmed with trimAl v1.5.rev1 (</w:t>
      </w:r>
      <w:r>
        <w:rPr>
          <w:rStyle w:val="VerbatimChar"/>
        </w:rPr>
        <w:t xml:space="preserve">-gappyout</w:t>
      </w:r>
      <w:r>
        <w:t xml:space="preserve">; 332 informative columns retained), and used to infer a maximum-likelihood phylogeny with IQ-TREE v3.1.1 under WAG+G4 selected by ModelFinder under BIC (Whelan &amp; Goldman, 2001). Branch support was estimated from 1,000 ultrafast bootstrap (UFBoot; Hoang et al., 2018) and 1,000 SH-aLRT replicates (Anisimova et al., 2011). The tree was rooted on lysostaphin and rendered with Biopython 1.87 Bio.Phylo. Scripts and intermediate files are provided at</w:t>
      </w:r>
      <w:r>
        <w:t xml:space="preserve"> </w:t>
      </w:r>
      <w:r>
        <w:rPr>
          <w:rStyle w:val="VerbatimChar"/>
        </w:rPr>
        <w:t xml:space="preserve">results/22_closed_genome_search/</w:t>
      </w:r>
      <w:r>
        <w:t xml:space="preserve"> </w:t>
      </w:r>
      <w:r>
        <w:t xml:space="preserve">in the project Zenodo archive.</w:t>
      </w:r>
    </w:p>
    <w:bookmarkStart w:id="9" w:name="references-new-in-this-section"/>
    <w:p>
      <w:pPr>
        <w:pStyle w:val="Heading2"/>
      </w:pPr>
      <w:r>
        <w:t xml:space="preserve">References (new in this section)</w:t>
      </w:r>
    </w:p>
    <w:p>
      <w:pPr>
        <w:pStyle w:val="FirstParagraph"/>
      </w:pPr>
      <w:r>
        <w:t xml:space="preserve">MAFFT, trimAl, IQ-TREE, ModelFinder, Biopython and NCBI database references are listed in the main bibliography. The three new references introduced by this analysis are:</w:t>
      </w:r>
    </w:p>
    <w:p>
      <w:pPr>
        <w:pStyle w:val="Compact"/>
        <w:numPr>
          <w:ilvl w:val="0"/>
          <w:numId w:val="1001"/>
        </w:numPr>
      </w:pPr>
      <w:r>
        <w:t xml:space="preserve">Anisimova M, Gil M, Dufayard JF, Dessimoz C, Gascuel O. Survey of branch support methods demonstrates accuracy, sensitivity, and reproducibility of fast likelihood-based approximation schemes.</w:t>
      </w:r>
      <w:r>
        <w:t xml:space="preserve"> </w:t>
      </w:r>
      <w:r>
        <w:rPr>
          <w:i/>
          <w:iCs/>
        </w:rPr>
        <w:t xml:space="preserve">Syst Biol</w:t>
      </w:r>
      <w:r>
        <w:t xml:space="preserve">. 2011;60:685–699.</w:t>
      </w:r>
    </w:p>
    <w:p>
      <w:pPr>
        <w:pStyle w:val="Compact"/>
        <w:numPr>
          <w:ilvl w:val="0"/>
          <w:numId w:val="1001"/>
        </w:numPr>
      </w:pPr>
      <w:r>
        <w:t xml:space="preserve">Hoang DT, Chernomor O, von Haeseler A, Minh BQ, Vinh LS. UFBoot2: Improving the ultrafast bootstrap approximation.</w:t>
      </w:r>
      <w:r>
        <w:t xml:space="preserve"> </w:t>
      </w:r>
      <w:r>
        <w:rPr>
          <w:i/>
          <w:iCs/>
        </w:rPr>
        <w:t xml:space="preserve">Mol Biol Evol</w:t>
      </w:r>
      <w:r>
        <w:t xml:space="preserve">. 2018;35:518–522.</w:t>
      </w:r>
    </w:p>
    <w:p>
      <w:pPr>
        <w:pStyle w:val="Compact"/>
        <w:numPr>
          <w:ilvl w:val="0"/>
          <w:numId w:val="1001"/>
        </w:numPr>
      </w:pPr>
      <w:r>
        <w:t xml:space="preserve">Whelan S, Goldman N. A general empirical model of protein evolution derived from multiple protein families using a maximum-likelihood approach.</w:t>
      </w:r>
      <w:r>
        <w:t xml:space="preserve"> </w:t>
      </w:r>
      <w:r>
        <w:rPr>
          <w:i/>
          <w:iCs/>
        </w:rPr>
        <w:t xml:space="preserve">Mol Biol Evol</w:t>
      </w:r>
      <w:r>
        <w:t xml:space="preserve">. 2001;18:691–699.</w:t>
      </w:r>
    </w:p>
    <w:bookmarkEnd w:id="9"/>
    <w:bookmarkEnd w:id="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2026-06-08T08:46:15Z</dcterms:created>
  <dcterms:modified xsi:type="dcterms:W3CDTF">2026-06-08T08:46:15Z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