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upplementary-table-s1"/>
    <w:p>
      <w:pPr>
        <w:pStyle w:val="Heading1"/>
      </w:pPr>
      <w:r>
        <w:t xml:space="preserve">Supplementary Table S1</w:t>
      </w:r>
    </w:p>
    <w:p>
      <w:pPr>
        <w:pStyle w:val="FirstParagraph"/>
      </w:pPr>
      <w:r>
        <w:rPr>
          <w:b/>
          <w:bCs/>
        </w:rPr>
        <w:t xml:space="preserve">Assembly metrics, Flye-reported circularity, and geNomad classification of all PL25 contigs.</w:t>
      </w:r>
    </w:p>
    <w:p>
      <w:pPr>
        <w:pStyle w:val="BodyText"/>
      </w:pPr>
      <w:r>
        <w:t xml:space="preserve">The 4.75 Mb</w:t>
      </w:r>
      <w:r>
        <w:t xml:space="preserve"> </w:t>
      </w:r>
      <w:r>
        <w:rPr>
          <w:i/>
          <w:iCs/>
        </w:rPr>
        <w:t xml:space="preserve">Virgibacillus salarius</w:t>
      </w:r>
      <w:r>
        <w:t xml:space="preserve"> </w:t>
      </w:r>
      <w:r>
        <w:t xml:space="preserve">PL25 genome was assembled with Flye v2.9.3-b1797 from Oxford Nanopore PromethION reads (</w:t>
      </w:r>
      <w:r>
        <w:rPr>
          <w:rStyle w:val="VerbatimChar"/>
        </w:rPr>
        <w:t xml:space="preserve">--nano-raw</w:t>
      </w:r>
      <w:r>
        <w:t xml:space="preserve">). Flye-reported per-contig metrics are taken from</w:t>
      </w:r>
      <w:r>
        <w:t xml:space="preserve"> </w:t>
      </w:r>
      <w:r>
        <w:rPr>
          <w:rStyle w:val="VerbatimChar"/>
        </w:rPr>
        <w:t xml:space="preserve">assembly_info.txt</w:t>
      </w:r>
      <w:r>
        <w:t xml:space="preserve">:</w:t>
      </w:r>
      <w:r>
        <w:t xml:space="preserve"> </w:t>
      </w:r>
      <w:r>
        <w:rPr>
          <w:rStyle w:val="VerbatimChar"/>
        </w:rPr>
        <w:t xml:space="preserve">circ</w:t>
      </w:r>
      <w:r>
        <w:t xml:space="preserve"> </w:t>
      </w:r>
      <w:r>
        <w:t xml:space="preserve">indicates the contig was reported as a closed circle by the assembler (independent confirmation by junction-spanning-read mapping was not performed);</w:t>
      </w:r>
      <w:r>
        <w:t xml:space="preserve"> </w:t>
      </w:r>
      <w:r>
        <w:rPr>
          <w:rStyle w:val="VerbatimChar"/>
        </w:rPr>
        <w:t xml:space="preserve">cov.</w:t>
      </w:r>
      <w:r>
        <w:t xml:space="preserve"> </w:t>
      </w:r>
      <w:r>
        <w:t xml:space="preserve">is the mean mapped coverage;</w:t>
      </w:r>
      <w:r>
        <w:t xml:space="preserve"> </w:t>
      </w:r>
      <w:r>
        <w:rPr>
          <w:rStyle w:val="VerbatimChar"/>
        </w:rPr>
        <w:t xml:space="preserve">mult.</w:t>
      </w:r>
      <w:r>
        <w:t xml:space="preserve"> </w:t>
      </w:r>
      <w:r>
        <w:t xml:space="preserve">is Flye's multiplicity estimate. geNomad v1.7.0 was run end-to-end with relaxed marker-enrichment thresholds (</w:t>
      </w:r>
      <w:r>
        <w:rPr>
          <w:rStyle w:val="VerbatimChar"/>
        </w:rPr>
        <w:t xml:space="preserve">--min-virus-marker-enrichment 0 --min-plasmid-marker-enrichment 0 --min-virus-hallmarks 0 --min-plasmid-hallmarks 0</w:t>
      </w:r>
      <w:r>
        <w:t xml:space="preserve">) to improve detection of potentially divergent halotolerant mobile elements; default ML score thresholds (min_score 0.7, max_fdr 0.1) were retained. GC1/GC2/GC3 values were computed in-house from Prokka-predicted CDS; Δ-values are differences relative to the chromosomal baseline (contig_4). The PL25_M23 hydrolase (PL25_00078) is encoded on contig_11.</w:t>
      </w:r>
    </w:p>
    <w:p>
      <w:pPr>
        <w:pStyle w:val="BodyText"/>
      </w:pPr>
      <w:r>
        <w:t xml:space="preserve">Working-FASTA contig nomenclature was preserved from</w:t>
      </w:r>
      <w:r>
        <w:t xml:space="preserve"> </w:t>
      </w:r>
      <w:r>
        <w:rPr>
          <w:rStyle w:val="VerbatimChar"/>
        </w:rPr>
        <w:t xml:space="preserve">PL25.fasta</w:t>
      </w:r>
      <w:r>
        <w:t xml:space="preserve"> </w:t>
      </w:r>
      <w:r>
        <w:t xml:space="preserve">and differs from the original Flye output for two contigs: the 74,025-bp closed circular plasmid candidate is contig_12 in Flye but contig_11 in the working FASTA, and the 44,498-bp closed circular element is contig_11 in Flye but contig_12 in the working FASTA. Throughout the manuscript and this table,</w:t>
      </w:r>
      <w:r>
        <w:t xml:space="preserve"> </w:t>
      </w:r>
      <w:r>
        <w:rPr>
          <w:b/>
          <w:bCs/>
        </w:rPr>
        <w:t xml:space="preserve">contig_11</w:t>
      </w:r>
      <w:r>
        <w:t xml:space="preserve"> </w:t>
      </w:r>
      <w:r>
        <w:t xml:space="preserve">refers to the 74,025-bp plasmid candidate. The full mapping is given in Supplementary Methods S1.</w:t>
      </w:r>
    </w:p>
    <w:bookmarkStart w:id="9" w:name="working-fasta-contigs"/>
    <w:p>
      <w:pPr>
        <w:pStyle w:val="Heading2"/>
      </w:pPr>
      <w:r>
        <w:t xml:space="preserve">Working FASTA contigs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Manuscript contig</w:t>
            </w:r>
          </w:p>
        </w:tc>
        <w:tc>
          <w:tcPr/>
          <w:p>
            <w:pPr>
              <w:pStyle w:val="Compact"/>
            </w:pPr>
            <w:r>
              <w:t xml:space="preserve">Flye contig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Length (bp)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CDS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Flye</w:t>
            </w:r>
            <w:r>
              <w:t xml:space="preserve"> </w:t>
            </w:r>
            <w:r>
              <w:rPr>
                <w:rStyle w:val="VerbatimChar"/>
              </w:rPr>
              <w:t xml:space="preserve">circ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Flye cov. (×)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Flye mult.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GC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GC1 %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GC2 %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GC3 %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ΔGC vs chr.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ΔGC3 vs chr.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geNomad plasmid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geNomad virus score</w:t>
            </w:r>
          </w:p>
        </w:tc>
        <w:tc>
          <w:tcPr/>
          <w:p>
            <w:pPr>
              <w:pStyle w:val="Compact"/>
            </w:pPr>
            <w:r>
              <w:t xml:space="preserve">Final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contig_4</w:t>
            </w:r>
          </w:p>
        </w:tc>
        <w:tc>
          <w:tcPr/>
          <w:p>
            <w:pPr>
              <w:pStyle w:val="Compact"/>
            </w:pPr>
            <w:r>
              <w:t xml:space="preserve">contig_4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4,349,560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Main chromosomal contig (not closed by Flye)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contig_2</w:t>
            </w:r>
          </w:p>
        </w:tc>
        <w:tc>
          <w:tcPr/>
          <w:p>
            <w:pPr>
              <w:pStyle w:val="Compact"/>
            </w:pPr>
            <w:r>
              <w:t xml:space="preserve">contig_2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249,289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Unannotated chromosomal fragment (no Prokka CDS calls; high coverage and elevated multiplicity are consistent with a chromosomal repeat)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contig_11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contig_12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74,025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42.62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30.54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23.19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−5.59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−5.52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circular plasmid candidate (carries PL25_M23)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contig_12</w:t>
            </w:r>
          </w:p>
        </w:tc>
        <w:tc>
          <w:tcPr/>
          <w:p>
            <w:pPr>
              <w:pStyle w:val="Compact"/>
            </w:pPr>
            <w:r>
              <w:t xml:space="preserve">contig_11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(alt 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</w:pPr>
            <w:r>
              <w:t xml:space="preserve">Closed circular element, repeat-flagged; geNomad virus-classified (likely a free / extrachromosomal prophage 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contig_10</w:t>
            </w:r>
          </w:p>
        </w:tc>
        <w:tc>
          <w:tcPr/>
          <w:p>
            <w:pPr>
              <w:pStyle w:val="Compact"/>
            </w:pPr>
            <w:r>
              <w:t xml:space="preserve">contig_10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Closed circular replicon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contig_9</w:t>
            </w:r>
          </w:p>
        </w:tc>
        <w:tc>
          <w:tcPr/>
          <w:p>
            <w:pPr>
              <w:pStyle w:val="Compact"/>
            </w:pPr>
            <w:r>
              <w:t xml:space="preserve">contig_9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Short linear fragment (geNomad plasmid score above threshold but unclosed)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contig_6</w:t>
            </w:r>
          </w:p>
        </w:tc>
        <w:tc>
          <w:tcPr/>
          <w:p>
            <w:pPr>
              <w:pStyle w:val="Compact"/>
            </w:pPr>
            <w:r>
              <w:t xml:space="preserve">contig_6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Short linear fragment (&lt; 600 bp; no Prokka CDS)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contig_5</w:t>
            </w:r>
          </w:p>
        </w:tc>
        <w:tc>
          <w:tcPr/>
          <w:p>
            <w:pPr>
              <w:pStyle w:val="Compact"/>
            </w:pPr>
            <w:r>
              <w:t xml:space="preserve">contig_5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Short linear fragment (&lt; 600 bp; no Prokka CDS)</w:t>
            </w:r>
          </w:p>
        </w:tc>
      </w:tr>
    </w:tbl>
    <w:bookmarkEnd w:id="9"/>
    <w:bookmarkStart w:id="10" w:name="contig-excluded-from-the-working-fasta"/>
    <w:p>
      <w:pPr>
        <w:pStyle w:val="Heading2"/>
      </w:pPr>
      <w:r>
        <w:t xml:space="preserve">Contig excluded from the working FASTA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Flye contig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Length (bp)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Flye</w:t>
            </w:r>
            <w:r>
              <w:t xml:space="preserve"> </w:t>
            </w:r>
            <w:r>
              <w:rPr>
                <w:rStyle w:val="VerbatimChar"/>
              </w:rPr>
              <w:t xml:space="preserve">circ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Flye cov. (×)</w:t>
            </w:r>
          </w:p>
        </w:tc>
        <w:tc>
          <w:tcPr/>
          <w:p>
            <w:pPr>
              <w:pStyle w:val="Compact"/>
            </w:pPr>
            <w:r>
              <w:t xml:space="preserve">Reason for exclusion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contig_1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Failed the pre-defined inclusion criterion (minimum coverage ≥ 10× and minimum length ≥ 5 kb). Excluded from the working FASTA and from the GenBank submission.</w:t>
            </w:r>
          </w:p>
        </w:tc>
      </w:tr>
    </w:tbl>
    <w:bookmarkEnd w:id="10"/>
    <w:bookmarkStart w:id="11" w:name="Xe47276a71f15521e7c04d3cd122700be2fc3e2b"/>
    <w:p>
      <w:pPr>
        <w:pStyle w:val="Heading2"/>
      </w:pPr>
      <w:r>
        <w:t xml:space="preserve">Provirus regions detected within the chromosome (contig_4)</w:t>
      </w:r>
    </w:p>
    <w:p>
      <w:pPr>
        <w:pStyle w:val="FirstParagraph"/>
      </w:pPr>
      <w:r>
        <w:t xml:space="preserve">Six high-confidence provirus regions were predicted by geNomad inside contig_4 (chromosome). These are integrated and so are not reported as separate contigs in the per-contig table above; they are listed here for completeness.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 (coords on contig_4)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Length (bp)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CDS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virus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hallmarks</w:t>
            </w:r>
          </w:p>
        </w:tc>
        <w:tc>
          <w:tcPr/>
          <w:p>
            <w:pPr>
              <w:pStyle w:val="Compact"/>
            </w:pPr>
            <w:r>
              <w:t xml:space="preserve">Taxonomy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735,616–777,289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Caudoviricetes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506,914–544,733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Caudoviricetes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1,208,625–1,251,666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Caudoviricetes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890,218–930,103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Caudoviricetes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2,883,721–2,896,061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Caudoviricetes</w:t>
            </w:r>
          </w:p>
        </w:tc>
      </w:tr>
    </w:tbl>
    <w:bookmarkEnd w:id="11"/>
    <w:bookmarkStart w:id="12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Sequencing and assembly.</w:t>
      </w:r>
      <w:r>
        <w:t xml:space="preserve"> </w:t>
      </w:r>
      <w:r>
        <w:t xml:space="preserve">The Nanopore PromethION input (496,746 reads; 2.40 Gb; N50 10,372 bp; mean read length 4,830 bp; average Phred Q17.5; Q20 fraction 87.5 %) provided ~510× theoretical coverage of the 4.7 Mb genome. Assembly used Flye v2.9.3-b1797 with</w:t>
      </w:r>
      <w:r>
        <w:t xml:space="preserve"> </w:t>
      </w:r>
      <w:r>
        <w:rPr>
          <w:rStyle w:val="VerbatimChar"/>
        </w:rPr>
        <w:t xml:space="preserve">--nano-raw</w:t>
      </w:r>
      <w:r>
        <w:t xml:space="preserve">; no external polishing step was applied. Circularity of individual contigs was inferred from the Flye</w:t>
      </w:r>
      <w:r>
        <w:t xml:space="preserve"> </w:t>
      </w:r>
      <w:r>
        <w:rPr>
          <w:rStyle w:val="VerbatimChar"/>
        </w:rPr>
        <w:t xml:space="preserve">assembly_info.txt</w:t>
      </w:r>
      <w:r>
        <w:t xml:space="preserve"> </w:t>
      </w:r>
      <w:r>
        <w:t xml:space="preserve">(</w:t>
      </w:r>
      <w:r>
        <w:rPr>
          <w:rStyle w:val="VerbatimChar"/>
        </w:rPr>
        <w:t xml:space="preserve">circ</w:t>
      </w:r>
      <w:r>
        <w:t xml:space="preserve"> </w:t>
      </w:r>
      <w:r>
        <w:t xml:space="preserve">field) and was not independently verified by junction-spanning-read mapping.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CDS calling.</w:t>
      </w:r>
      <w:r>
        <w:t xml:space="preserve"> </w:t>
      </w:r>
      <w:r>
        <w:t xml:space="preserve">Prokka v1.15.6 (Prodigal v2.6.3) was used with</w:t>
      </w:r>
      <w:r>
        <w:t xml:space="preserve"> </w:t>
      </w:r>
      <w:r>
        <w:rPr>
          <w:rStyle w:val="VerbatimChar"/>
        </w:rPr>
        <w:t xml:space="preserve">--kingdom Bacteria --genus Virgibacillus --species salarius --strain PL25 --rfam --addgenes --locustag PL25</w:t>
      </w:r>
      <w:r>
        <w:t xml:space="preserve"> </w:t>
      </w:r>
      <w:r>
        <w:t xml:space="preserve">to obtain 4,613 CDS across the eight working-FASTA contigs. GC1/GC2/GC3 were calculated by an in-house Python script counting GC at each codon position across all predicted CDS per contig.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Chromosome status.</w:t>
      </w:r>
      <w:r>
        <w:t xml:space="preserve"> </w:t>
      </w:r>
      <w:r>
        <w:t xml:space="preserve">contig_4 was not reported as a closed circle by Flye; it is therefore described as the</w:t>
      </w:r>
      <w:r>
        <w:t xml:space="preserve"> </w:t>
      </w:r>
      <w:r>
        <w:rPr>
          <w:i/>
          <w:iCs/>
        </w:rPr>
        <w:t xml:space="preserve">main chromosomal contig</w:t>
      </w:r>
      <w:r>
        <w:t xml:space="preserve">, not as a "closed chromosome." Independent chromosomal-closure evidence (e.g. long-read junction support, optical mapping) has not been collected.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Interpretation of compositional offsets.</w:t>
      </w:r>
      <w:r>
        <w:t xml:space="preserve"> </w:t>
      </w:r>
      <w:r>
        <w:t xml:space="preserve">Negative ΔGC and ΔGC3 values larger than the within-chromosome variance are consistent with a distinct evolutionary history and possible horizontal acquisition (Lawrence &amp; Ochman,</w:t>
      </w:r>
      <w:r>
        <w:t xml:space="preserve"> </w:t>
      </w:r>
      <w:r>
        <w:rPr>
          <w:i/>
          <w:iCs/>
        </w:rPr>
        <w:t xml:space="preserve">PNAS</w:t>
      </w:r>
      <w:r>
        <w:t xml:space="preserve"> </w:t>
      </w:r>
      <w:r>
        <w:t xml:space="preserve">1998). Such compositional shifts do not establish recent transfer; they must be interpreted alongside the conjugation-machinery and synteny analyses of Supplementary Table S4 and Figure 5.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2026-06-03T11:14:20Z</dcterms:created>
  <dcterms:modified xsi:type="dcterms:W3CDTF">2026-06-03T11:14:20Z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