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4</w:t>
      </w:r>
      <w:r>
        <w:br/>
      </w:r>
      <w:r>
        <w:rPr>
          <w:rStyle w:val="VerbatimChar"/>
        </w:rPr>
        <w:t xml:space="preserve">s = 15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collect(LinRange(0.000000001, 8,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rPr>
          <w:rStyle w:val="VerbatimChar"/>
        </w:rPr>
        <w:t xml:space="preserve">t = collect(LinRange(0.000000001,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pyth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(Python)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n=4 #разница в скорости</w:t>
      </w:r>
      <w:r>
        <w:br/>
      </w:r>
      <w:r>
        <w:rPr>
          <w:rStyle w:val="VerbatimChar"/>
        </w:rPr>
        <w:t xml:space="preserve">s=15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5334000"/>
            <wp:effectExtent b="0" l="0" r="0" t="0"/>
            <wp:docPr descr="Figure 1: траектории для случая 1 (Python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(Python)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1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5334000"/>
            <wp:effectExtent b="0" l="0" r="0" t="0"/>
            <wp:docPr descr="Figure 3: траектории для случая 2 (Python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(Python)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2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Задача о погоне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Исмаил Айман</dc:creator>
  <dc:language>ru-RU</dc:language>
  <cp:keywords/>
  <dcterms:created xsi:type="dcterms:W3CDTF">2024-02-13T10:59:57Z</dcterms:created>
  <dcterms:modified xsi:type="dcterms:W3CDTF">2024-02-13T10:59:57Z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