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COCOAID</w:t>
      </w:r>
      <w:r>
        <w:t xml:space="preserve"> </w:t>
      </w:r>
      <w:r>
        <w:t xml:space="preserve">Detailed</w:t>
      </w:r>
      <w:r>
        <w:t xml:space="preserve"> </w:t>
      </w:r>
      <w:r>
        <w:t xml:space="preserve">Engineering</w:t>
      </w:r>
      <w:r>
        <w:t xml:space="preserve"> </w:t>
      </w:r>
      <w:r>
        <w:t xml:space="preserve">Process</w:t>
      </w:r>
      <w:r>
        <w:t xml:space="preserve"> </w:t>
      </w:r>
      <w:r>
        <w:t xml:space="preserve">Report</w:t>
      </w:r>
    </w:p>
    <w:p>
      <w:pPr>
        <w:pStyle w:val="Subtitle"/>
      </w:pPr>
      <w:r>
        <w:t xml:space="preserve">Phases</w:t>
      </w:r>
      <w:r>
        <w:t xml:space="preserve"> </w:t>
      </w:r>
      <w:r>
        <w:t xml:space="preserve">0</w:t>
      </w:r>
      <w:r>
        <w:t xml:space="preserve"> </w:t>
      </w:r>
      <w:r>
        <w:t xml:space="preserve">to</w:t>
      </w:r>
      <w:r>
        <w:t xml:space="preserve"> </w:t>
      </w:r>
      <w:r>
        <w:t xml:space="preserve">10:</w:t>
      </w:r>
      <w:r>
        <w:t xml:space="preserve"> </w:t>
      </w:r>
      <w:r>
        <w:t xml:space="preserve">Architecture,</w:t>
      </w:r>
      <w:r>
        <w:t xml:space="preserve"> </w:t>
      </w:r>
      <w:r>
        <w:t xml:space="preserve">Data</w:t>
      </w:r>
      <w:r>
        <w:t xml:space="preserve"> </w:t>
      </w:r>
      <w:r>
        <w:t xml:space="preserve">Contracts,</w:t>
      </w:r>
      <w:r>
        <w:t xml:space="preserve"> </w:t>
      </w:r>
      <w:r>
        <w:t xml:space="preserve">Analytical</w:t>
      </w:r>
      <w:r>
        <w:t xml:space="preserve"> </w:t>
      </w:r>
      <w:r>
        <w:t xml:space="preserve">Engines,</w:t>
      </w:r>
      <w:r>
        <w:t xml:space="preserve"> </w:t>
      </w:r>
      <w:r>
        <w:t xml:space="preserve">Decision</w:t>
      </w:r>
      <w:r>
        <w:t xml:space="preserve"> </w:t>
      </w:r>
      <w:r>
        <w:t xml:space="preserve">Support,</w:t>
      </w:r>
      <w:r>
        <w:t xml:space="preserve"> </w:t>
      </w:r>
      <w:r>
        <w:t xml:space="preserve">CoCO-PILOT,</w:t>
      </w:r>
      <w:r>
        <w:t xml:space="preserve"> </w:t>
      </w:r>
      <w:r>
        <w:t xml:space="preserve">and</w:t>
      </w:r>
      <w:r>
        <w:t xml:space="preserve"> </w:t>
      </w:r>
      <w:r>
        <w:t xml:space="preserve">Formal</w:t>
      </w:r>
      <w:r>
        <w:t xml:space="preserve"> </w:t>
      </w:r>
      <w:r>
        <w:t xml:space="preserve">Reporting</w:t>
      </w:r>
    </w:p>
    <w:p>
      <w:pPr>
        <w:pStyle w:val="Author"/>
      </w:pPr>
      <w:r>
        <w:t xml:space="preserve">COCOAID</w:t>
      </w:r>
      <w:r>
        <w:t xml:space="preserve"> </w:t>
      </w:r>
      <w:r>
        <w:t xml:space="preserve">Research</w:t>
      </w:r>
      <w:r>
        <w:t xml:space="preserve"> </w:t>
      </w:r>
      <w:r>
        <w:t xml:space="preserve">Prototype</w:t>
      </w:r>
    </w:p>
    <w:p>
      <w:pPr>
        <w:pStyle w:val="Date"/>
      </w:pPr>
      <w:r>
        <w:t xml:space="preserve">4</w:t>
      </w:r>
      <w:r>
        <w:t xml:space="preserve"> </w:t>
      </w:r>
      <w:r>
        <w:t xml:space="preserve">August</w:t>
      </w:r>
      <w:r>
        <w:t xml:space="preserve"> </w:t>
      </w:r>
      <w:r>
        <w:t xml:space="preserve">2026</w:t>
      </w:r>
    </w:p>
    <w:bookmarkStart w:id="20" w:name="executive-summary"/>
    <w:p>
      <w:pPr>
        <w:pStyle w:val="Heading1"/>
      </w:pPr>
      <w:r>
        <w:t xml:space="preserve">Executive Summary</w:t>
      </w:r>
    </w:p>
    <w:p>
      <w:pPr>
        <w:pStyle w:val="FirstParagraph"/>
      </w:pPr>
      <w:r>
        <w:t xml:space="preserve">COCOAID is a modular research prototype for coconut-farm decision support. Its formal research identity is</w:t>
      </w:r>
      <w:r>
        <w:t xml:space="preserve"> </w:t>
      </w:r>
      <w:r>
        <w:rPr>
          <w:b/>
          <w:bCs/>
        </w:rPr>
        <w:t xml:space="preserve">COCOAID: Bayesian Probabilistic Agroecosystem Simulation and Geospatial AI-Based Decision-Support Framework Using Machine Learning for Coconut Rehabilitation, Intercropping Potential Modeling, Pest-Risk Inference, and Long-Term Productivity Forecasting</w:t>
      </w:r>
      <w:r>
        <w:t xml:space="preserve">.</w:t>
      </w:r>
    </w:p>
    <w:p>
      <w:pPr>
        <w:pStyle w:val="BodyText"/>
      </w:pPr>
      <w:r>
        <w:t xml:space="preserve">The rehaul was executed as a controlled migration from the preserved v2.11 prototype. The principal engineering objective was not to add features directly to the legacy monolith, but to establish versioned analytical boundaries so weather data, machine-learning predictions, Bayesian state updates, pest-risk inference, intercropping suitability, rehabilitation optimization, decision orchestration, AI explanation, and formal reporting could be tested independently and reproduced later.</w:t>
      </w:r>
    </w:p>
    <w:p>
      <w:pPr>
        <w:pStyle w:val="BodyText"/>
      </w:pPr>
      <w:r>
        <w:t xml:space="preserve">The implemented Phase 10 release contains ten normalized database migrations, a versioned</w:t>
      </w:r>
      <w:r>
        <w:t xml:space="preserve"> </w:t>
      </w:r>
      <w:r>
        <w:rPr>
          <w:rStyle w:val="VerbatimChar"/>
        </w:rPr>
        <w:t xml:space="preserve">/api/v2</w:t>
      </w:r>
      <w:r>
        <w:t xml:space="preserve"> </w:t>
      </w:r>
      <w:r>
        <w:t xml:space="preserve">contract surface, five executable analytical engines, an integrated decision-support network, a source-grounded CoCO-PILOT explanation service, and deterministic DOCX/PDF report generation. The complete test inventory contains</w:t>
      </w:r>
      <w:r>
        <w:t xml:space="preserve"> </w:t>
      </w:r>
      <w:r>
        <w:rPr>
          <w:b/>
          <w:bCs/>
        </w:rPr>
        <w:t xml:space="preserve">259 passing tests across 84 test files</w:t>
      </w:r>
      <w:r>
        <w:t xml:space="preserve">, with warnings treated as test failures.</w:t>
      </w:r>
    </w:p>
    <w:p>
      <w:pPr>
        <w:pStyle w:val="BodyText"/>
      </w:pPr>
      <w:r>
        <w:t xml:space="preserve">The core system flow is:</w:t>
      </w:r>
    </w:p>
    <w:p>
      <w:pPr>
        <w:pStyle w:val="SourceCode"/>
      </w:pPr>
      <w:r>
        <w:rPr>
          <w:rStyle w:val="VerbatimChar"/>
        </w:rPr>
        <w:t xml:space="preserve">Farm profile and cell data</w:t>
      </w:r>
      <w:r>
        <w:br/>
      </w:r>
      <w:r>
        <w:rPr>
          <w:rStyle w:val="VerbatimChar"/>
        </w:rPr>
        <w:t xml:space="preserve">        +</w:t>
      </w:r>
      <w:r>
        <w:br/>
      </w:r>
      <w:r>
        <w:rPr>
          <w:rStyle w:val="VerbatimChar"/>
        </w:rPr>
        <w:t xml:space="preserve">Observed, historical, and 16-day forecast weather</w:t>
      </w:r>
      <w:r>
        <w:br/>
      </w:r>
      <w:r>
        <w:rPr>
          <w:rStyle w:val="VerbatimChar"/>
        </w:rPr>
        <w:t xml:space="preserve">        +</w:t>
      </w:r>
      <w:r>
        <w:br/>
      </w:r>
      <w:r>
        <w:rPr>
          <w:rStyle w:val="VerbatimChar"/>
        </w:rPr>
        <w:t xml:space="preserve">PCA reference catalogs and official production references</w:t>
      </w:r>
      <w:r>
        <w:br/>
      </w:r>
      <w:r>
        <w:rPr>
          <w:rStyle w:val="VerbatimChar"/>
        </w:rPr>
        <w:t xml:space="preserve">        ↓</w:t>
      </w:r>
      <w:r>
        <w:br/>
      </w:r>
      <w:r>
        <w:rPr>
          <w:rStyle w:val="VerbatimChar"/>
        </w:rPr>
        <w:t xml:space="preserve">Versioned weather feature engineering</w:t>
      </w:r>
      <w:r>
        <w:br/>
      </w:r>
      <w:r>
        <w:rPr>
          <w:rStyle w:val="VerbatimChar"/>
        </w:rPr>
        <w:t xml:space="preserve">        ↓</w:t>
      </w:r>
      <w:r>
        <w:br/>
      </w:r>
      <w:r>
        <w:rPr>
          <w:rStyle w:val="VerbatimChar"/>
        </w:rPr>
        <w:t xml:space="preserve">Preserved machine-learning production model</w:t>
      </w:r>
      <w:r>
        <w:br/>
      </w:r>
      <w:r>
        <w:rPr>
          <w:rStyle w:val="VerbatimChar"/>
        </w:rPr>
        <w:t xml:space="preserve">        ↓</w:t>
      </w:r>
      <w:r>
        <w:br/>
      </w:r>
      <w:r>
        <w:rPr>
          <w:rStyle w:val="VerbatimChar"/>
        </w:rPr>
        <w:t xml:space="preserve">Bayesian farm-state simulation</w:t>
      </w:r>
      <w:r>
        <w:br/>
      </w:r>
      <w:r>
        <w:rPr>
          <w:rStyle w:val="VerbatimChar"/>
        </w:rPr>
        <w:t xml:space="preserve">        ↓</w:t>
      </w:r>
      <w:r>
        <w:br/>
      </w:r>
      <w:r>
        <w:rPr>
          <w:rStyle w:val="VerbatimChar"/>
        </w:rPr>
        <w:t xml:space="preserve">Pest inference + intercropping assessment</w:t>
      </w:r>
      <w:r>
        <w:br/>
      </w:r>
      <w:r>
        <w:rPr>
          <w:rStyle w:val="VerbatimChar"/>
        </w:rPr>
        <w:t xml:space="preserve">        ↓</w:t>
      </w:r>
      <w:r>
        <w:br/>
      </w:r>
      <w:r>
        <w:rPr>
          <w:rStyle w:val="VerbatimChar"/>
        </w:rPr>
        <w:t xml:space="preserve">Rehabilitation and scenario optimization</w:t>
      </w:r>
      <w:r>
        <w:br/>
      </w:r>
      <w:r>
        <w:rPr>
          <w:rStyle w:val="VerbatimChar"/>
        </w:rPr>
        <w:t xml:space="preserve">        ↓</w:t>
      </w:r>
      <w:r>
        <w:br/>
      </w:r>
      <w:r>
        <w:rPr>
          <w:rStyle w:val="VerbatimChar"/>
        </w:rPr>
        <w:t xml:space="preserve">Integrated decision-support record</w:t>
      </w:r>
      <w:r>
        <w:br/>
      </w:r>
      <w:r>
        <w:rPr>
          <w:rStyle w:val="VerbatimChar"/>
        </w:rPr>
        <w:t xml:space="preserve">        ↓</w:t>
      </w:r>
      <w:r>
        <w:br/>
      </w:r>
      <w:r>
        <w:rPr>
          <w:rStyle w:val="VerbatimChar"/>
        </w:rPr>
        <w:t xml:space="preserve">CoCO-PILOT explanation + DOCX/PDF formal reports</w:t>
      </w:r>
    </w:p>
    <w:bookmarkEnd w:id="20"/>
    <w:bookmarkStart w:id="23" w:name="X516229a1628c412813d6157fcd65438ef58bf11"/>
    <w:p>
      <w:pPr>
        <w:pStyle w:val="Heading1"/>
      </w:pPr>
      <w:r>
        <w:t xml:space="preserve">1. Engineering Objectives and Non-Negotiable Controls</w:t>
      </w:r>
    </w:p>
    <w:bookmarkStart w:id="21" w:name="primary-objectives"/>
    <w:p>
      <w:pPr>
        <w:pStyle w:val="Heading2"/>
      </w:pPr>
      <w:r>
        <w:t xml:space="preserve">1.1 Primary objectives</w:t>
      </w:r>
    </w:p>
    <w:p>
      <w:pPr>
        <w:pStyle w:val="FirstParagraph"/>
      </w:pPr>
      <w:r>
        <w:t xml:space="preserve">The rehaul was designed to satisfy the following engineering requirements:</w:t>
      </w:r>
    </w:p>
    <w:p>
      <w:pPr>
        <w:pStyle w:val="Compact"/>
        <w:numPr>
          <w:ilvl w:val="0"/>
          <w:numId w:val="1001"/>
        </w:numPr>
      </w:pPr>
      <w:r>
        <w:t xml:space="preserve">Preserve the v2.11 system and its trained model artifacts as an immutable baseline.</w:t>
      </w:r>
    </w:p>
    <w:p>
      <w:pPr>
        <w:pStyle w:val="Compact"/>
        <w:numPr>
          <w:ilvl w:val="0"/>
          <w:numId w:val="1001"/>
        </w:numPr>
      </w:pPr>
      <w:r>
        <w:t xml:space="preserve">Separate genuine live forecasts from long-term climate-conditioned simulations.</w:t>
      </w:r>
    </w:p>
    <w:p>
      <w:pPr>
        <w:pStyle w:val="Compact"/>
        <w:numPr>
          <w:ilvl w:val="0"/>
          <w:numId w:val="1001"/>
        </w:numPr>
      </w:pPr>
      <w:r>
        <w:t xml:space="preserve">Preserve the retained production model while preventing feature-order drift.</w:t>
      </w:r>
    </w:p>
    <w:p>
      <w:pPr>
        <w:pStyle w:val="Compact"/>
        <w:numPr>
          <w:ilvl w:val="0"/>
          <w:numId w:val="1001"/>
        </w:numPr>
      </w:pPr>
      <w:r>
        <w:t xml:space="preserve">Represent uncertainty explicitly rather than reporting only a deterministic point estimate.</w:t>
      </w:r>
    </w:p>
    <w:p>
      <w:pPr>
        <w:pStyle w:val="Compact"/>
        <w:numPr>
          <w:ilvl w:val="0"/>
          <w:numId w:val="1001"/>
        </w:numPr>
      </w:pPr>
      <w:r>
        <w:t xml:space="preserve">Keep each pest and disease profile independent and provenance-linked.</w:t>
      </w:r>
    </w:p>
    <w:p>
      <w:pPr>
        <w:pStyle w:val="Compact"/>
        <w:numPr>
          <w:ilvl w:val="0"/>
          <w:numId w:val="1001"/>
        </w:numPr>
      </w:pPr>
      <w:r>
        <w:t xml:space="preserve">Implement a transparent intercropping scoring model before attempting supervised learning.</w:t>
      </w:r>
    </w:p>
    <w:p>
      <w:pPr>
        <w:pStyle w:val="Compact"/>
        <w:numPr>
          <w:ilvl w:val="0"/>
          <w:numId w:val="1001"/>
        </w:numPr>
      </w:pPr>
      <w:r>
        <w:t xml:space="preserve">Convert analytical outputs into feasible, budget-aware rehabilitation plans.</w:t>
      </w:r>
    </w:p>
    <w:p>
      <w:pPr>
        <w:pStyle w:val="Compact"/>
        <w:numPr>
          <w:ilvl w:val="0"/>
          <w:numId w:val="1001"/>
        </w:numPr>
      </w:pPr>
      <w:r>
        <w:t xml:space="preserve">Create one integrated record without overwriting upstream results.</w:t>
      </w:r>
    </w:p>
    <w:p>
      <w:pPr>
        <w:pStyle w:val="Compact"/>
        <w:numPr>
          <w:ilvl w:val="0"/>
          <w:numId w:val="1001"/>
        </w:numPr>
      </w:pPr>
      <w:r>
        <w:t xml:space="preserve">Use AI only to explain saved analytical outputs, not to invent evidence or numeric results.</w:t>
      </w:r>
    </w:p>
    <w:p>
      <w:pPr>
        <w:pStyle w:val="Compact"/>
        <w:numPr>
          <w:ilvl w:val="0"/>
          <w:numId w:val="1001"/>
        </w:numPr>
      </w:pPr>
      <w:r>
        <w:t xml:space="preserve">Generate formal reports directly from stored values with reproducible fingerprints.</w:t>
      </w:r>
    </w:p>
    <w:bookmarkEnd w:id="21"/>
    <w:bookmarkStart w:id="22" w:name="system-wide-engineering-controls"/>
    <w:p>
      <w:pPr>
        <w:pStyle w:val="Heading2"/>
      </w:pPr>
      <w:r>
        <w:t xml:space="preserve">1.2 System-wide engineering controls</w:t>
      </w:r>
    </w:p>
    <w:p>
      <w:pPr>
        <w:pStyle w:val="FirstParagraph"/>
      </w:pPr>
      <w:r>
        <w:t xml:space="preserve">The project applies these controls throughout all phases:</w:t>
      </w:r>
    </w:p>
    <w:p>
      <w:pPr>
        <w:pStyle w:val="Compact"/>
        <w:numPr>
          <w:ilvl w:val="0"/>
          <w:numId w:val="1002"/>
        </w:numPr>
      </w:pPr>
      <w:r>
        <w:t xml:space="preserve">additive, reversible database migrations;</w:t>
      </w:r>
    </w:p>
    <w:p>
      <w:pPr>
        <w:pStyle w:val="Compact"/>
        <w:numPr>
          <w:ilvl w:val="0"/>
          <w:numId w:val="1002"/>
        </w:numPr>
      </w:pPr>
      <w:r>
        <w:t xml:space="preserve">strict Pydantic request and response contracts;</w:t>
      </w:r>
    </w:p>
    <w:p>
      <w:pPr>
        <w:pStyle w:val="Compact"/>
        <w:numPr>
          <w:ilvl w:val="0"/>
          <w:numId w:val="1002"/>
        </w:numPr>
      </w:pPr>
      <w:r>
        <w:t xml:space="preserve">canonical units and explicit value ranges;</w:t>
      </w:r>
    </w:p>
    <w:p>
      <w:pPr>
        <w:pStyle w:val="Compact"/>
        <w:numPr>
          <w:ilvl w:val="0"/>
          <w:numId w:val="1002"/>
        </w:numPr>
      </w:pPr>
      <w:r>
        <w:t xml:space="preserve">SHA-256 artifact and payload checksums;</w:t>
      </w:r>
    </w:p>
    <w:p>
      <w:pPr>
        <w:pStyle w:val="Compact"/>
        <w:numPr>
          <w:ilvl w:val="0"/>
          <w:numId w:val="1002"/>
        </w:numPr>
      </w:pPr>
      <w:r>
        <w:t xml:space="preserve">immutable model, parameter, adapter, and prompt versions;</w:t>
      </w:r>
    </w:p>
    <w:p>
      <w:pPr>
        <w:pStyle w:val="Compact"/>
        <w:numPr>
          <w:ilvl w:val="0"/>
          <w:numId w:val="1002"/>
        </w:numPr>
      </w:pPr>
      <w:r>
        <w:t xml:space="preserve">deterministic random seeds for stochastic simulation;</w:t>
      </w:r>
    </w:p>
    <w:p>
      <w:pPr>
        <w:pStyle w:val="Compact"/>
        <w:numPr>
          <w:ilvl w:val="0"/>
          <w:numId w:val="1002"/>
        </w:numPr>
      </w:pPr>
      <w:r>
        <w:t xml:space="preserve">explicit data provenance and source-document linkage;</w:t>
      </w:r>
    </w:p>
    <w:p>
      <w:pPr>
        <w:pStyle w:val="Compact"/>
        <w:numPr>
          <w:ilvl w:val="0"/>
          <w:numId w:val="1002"/>
        </w:numPr>
      </w:pPr>
      <w:r>
        <w:t xml:space="preserve">PII separation and restricted-source exclusion;</w:t>
      </w:r>
    </w:p>
    <w:p>
      <w:pPr>
        <w:pStyle w:val="Compact"/>
        <w:numPr>
          <w:ilvl w:val="0"/>
          <w:numId w:val="1002"/>
        </w:numPr>
      </w:pPr>
      <w:r>
        <w:t xml:space="preserve">independent unit, integration, migration, regression, and release tests;</w:t>
      </w:r>
    </w:p>
    <w:p>
      <w:pPr>
        <w:pStyle w:val="Compact"/>
        <w:numPr>
          <w:ilvl w:val="0"/>
          <w:numId w:val="1002"/>
        </w:numPr>
      </w:pPr>
      <w:r>
        <w:t xml:space="preserve">no silent synthetic replacement for unavailable live weather;</w:t>
      </w:r>
    </w:p>
    <w:p>
      <w:pPr>
        <w:pStyle w:val="Compact"/>
        <w:numPr>
          <w:ilvl w:val="0"/>
          <w:numId w:val="1002"/>
        </w:numPr>
      </w:pPr>
      <w:r>
        <w:t xml:space="preserve">no automatic conversion of predicted events into confirmed field evidence.</w:t>
      </w:r>
    </w:p>
    <w:bookmarkEnd w:id="22"/>
    <w:bookmarkEnd w:id="23"/>
    <w:bookmarkStart w:id="24" w:name="X3a15f442e8be4f8874ee26682a0c9f13734dddb"/>
    <w:p>
      <w:pPr>
        <w:pStyle w:val="Heading1"/>
      </w:pPr>
      <w:r>
        <w:t xml:space="preserve">2. Phase 0: Baseline Preservation and System Audit</w:t>
      </w:r>
    </w:p>
    <w:p>
      <w:pPr>
        <w:pStyle w:val="FirstParagraph"/>
      </w:pPr>
      <w:r>
        <w:t xml:space="preserve">Phase 0 established the immutable starting point. The v2.11 codebase, trained models, endpoints, database structure, frontend modules, and reference outputs were inventoried before any architectural changes were made.</w:t>
      </w:r>
    </w:p>
    <w:p>
      <w:pPr>
        <w:pStyle w:val="BodyText"/>
      </w:pPr>
      <w:r>
        <w:t xml:space="preserve">The baseline work included:</w:t>
      </w:r>
    </w:p>
    <w:p>
      <w:pPr>
        <w:pStyle w:val="Compact"/>
        <w:numPr>
          <w:ilvl w:val="0"/>
          <w:numId w:val="1003"/>
        </w:numPr>
      </w:pPr>
      <w:r>
        <w:t xml:space="preserve">preserving the original system under a release tag;</w:t>
      </w:r>
    </w:p>
    <w:p>
      <w:pPr>
        <w:pStyle w:val="Compact"/>
        <w:numPr>
          <w:ilvl w:val="0"/>
          <w:numId w:val="1003"/>
        </w:numPr>
      </w:pPr>
      <w:r>
        <w:t xml:space="preserve">recording model filenames, hashes, input schemas, and runtime expectations;</w:t>
      </w:r>
    </w:p>
    <w:p>
      <w:pPr>
        <w:pStyle w:val="Compact"/>
        <w:numPr>
          <w:ilvl w:val="0"/>
          <w:numId w:val="1003"/>
        </w:numPr>
      </w:pPr>
      <w:r>
        <w:t xml:space="preserve">capturing reference outputs for small, medium, and high-risk farms;</w:t>
      </w:r>
    </w:p>
    <w:p>
      <w:pPr>
        <w:pStyle w:val="Compact"/>
        <w:numPr>
          <w:ilvl w:val="0"/>
          <w:numId w:val="1003"/>
        </w:numPr>
      </w:pPr>
      <w:r>
        <w:t xml:space="preserve">documenting existing synthetic and reference-derived model limitations;</w:t>
      </w:r>
    </w:p>
    <w:p>
      <w:pPr>
        <w:pStyle w:val="Compact"/>
        <w:numPr>
          <w:ilvl w:val="0"/>
          <w:numId w:val="1003"/>
        </w:numPr>
      </w:pPr>
      <w:r>
        <w:t xml:space="preserve">auditing the PCA data bundle and farmer workbook;</w:t>
      </w:r>
    </w:p>
    <w:p>
      <w:pPr>
        <w:pStyle w:val="Compact"/>
        <w:numPr>
          <w:ilvl w:val="0"/>
          <w:numId w:val="1003"/>
        </w:numPr>
      </w:pPr>
      <w:r>
        <w:t xml:space="preserve">separating protected farmer identity fields from analytical records;</w:t>
      </w:r>
    </w:p>
    <w:p>
      <w:pPr>
        <w:pStyle w:val="Compact"/>
        <w:numPr>
          <w:ilvl w:val="0"/>
          <w:numId w:val="1003"/>
        </w:numPr>
      </w:pPr>
      <w:r>
        <w:t xml:space="preserve">recording known defects and migration risks.</w:t>
      </w:r>
    </w:p>
    <w:p>
      <w:pPr>
        <w:pStyle w:val="FirstParagraph"/>
      </w:pPr>
      <w:r>
        <w:t xml:space="preserve">The baseline checksum of an artifact</w:t>
      </w:r>
      <w:r>
        <w:t xml:space="preserve"> </w:t>
      </w:r>
      <m:oMath>
        <m:r>
          <m:t>A</m:t>
        </m:r>
      </m:oMath>
      <w:r>
        <w:t xml:space="preserve"> </w:t>
      </w:r>
      <w:r>
        <w:t xml:space="preserve">is represented as:</w:t>
      </w:r>
    </w:p>
    <w:p>
      <w:pPr>
        <w:pStyle w:val="BodyText"/>
      </w:pPr>
      <m:oMathPara>
        <m:oMathParaPr>
          <m:jc m:val="center"/>
        </m:oMathParaPr>
        <m:oMath>
          <m:sSub>
            <m:e>
              <m:r>
                <m:t>h</m:t>
              </m:r>
            </m:e>
            <m:sub>
              <m:r>
                <m:t>A</m:t>
              </m:r>
            </m:sub>
          </m:sSub>
          <m:r>
            <m:rPr>
              <m:sty m:val="p"/>
            </m:rPr>
            <m:t>=</m:t>
          </m:r>
          <m:r>
            <m:rPr>
              <m:sty m:val="p"/>
            </m:rPr>
            <m:t>SHA256</m:t>
          </m:r>
          <m:d>
            <m:dPr>
              <m:begChr m:val="("/>
              <m:endChr m:val=")"/>
              <m:sepChr m:val=""/>
              <m:grow/>
            </m:dPr>
            <m:e>
              <m:r>
                <m:t>A</m:t>
              </m:r>
            </m:e>
          </m:d>
        </m:oMath>
      </m:oMathPara>
    </w:p>
    <w:p>
      <w:pPr>
        <w:pStyle w:val="FirstParagraph"/>
      </w:pPr>
      <w:r>
        <w:t xml:space="preserve">A later release can verify artifact preservation by testing:</w:t>
      </w:r>
    </w:p>
    <w:p>
      <w:pPr>
        <w:pStyle w:val="BodyText"/>
      </w:pPr>
      <m:oMathPara>
        <m:oMathParaPr>
          <m:jc m:val="center"/>
        </m:oMathParaPr>
        <m:oMath>
          <m:sSubSup>
            <m:e>
              <m:r>
                <m:t>h</m:t>
              </m:r>
            </m:e>
            <m:sub>
              <m:r>
                <m:t>A</m:t>
              </m:r>
            </m:sub>
            <m:sup>
              <m:r>
                <m:rPr>
                  <m:nor/>
                  <m:sty m:val="p"/>
                </m:rPr>
                <m:t>release</m:t>
              </m:r>
            </m:sup>
          </m:sSubSup>
          <m:r>
            <m:rPr>
              <m:sty m:val="p"/>
            </m:rPr>
            <m:t>=</m:t>
          </m:r>
          <m:sSubSup>
            <m:e>
              <m:r>
                <m:t>h</m:t>
              </m:r>
            </m:e>
            <m:sub>
              <m:r>
                <m:t>A</m:t>
              </m:r>
            </m:sub>
            <m:sup>
              <m:r>
                <m:rPr>
                  <m:nor/>
                  <m:sty m:val="p"/>
                </m:rPr>
                <m:t>baseline</m:t>
              </m:r>
            </m:sup>
          </m:sSubSup>
        </m:oMath>
      </m:oMathPara>
    </w:p>
    <w:p>
      <w:pPr>
        <w:pStyle w:val="FirstParagraph"/>
      </w:pPr>
      <w:r>
        <w:t xml:space="preserve">This control prevents accidental replacement of the retained production, pest, or suitability model artifacts.</w:t>
      </w:r>
    </w:p>
    <w:bookmarkEnd w:id="24"/>
    <w:bookmarkStart w:id="25" w:name="X3cd4b039e78e043b2300e5fafdd8d8a633e9626"/>
    <w:p>
      <w:pPr>
        <w:pStyle w:val="Heading1"/>
      </w:pPr>
      <w:r>
        <w:t xml:space="preserve">3. Phase 1: Core Architecture and Data Contracts</w:t>
      </w:r>
    </w:p>
    <w:p>
      <w:pPr>
        <w:pStyle w:val="FirstParagraph"/>
      </w:pPr>
      <w:r>
        <w:t xml:space="preserve">Phase 1 replaced implicit cross-module assumptions with formal contracts. The backend was reorganized around domain schemas, analytical engines, repositories, migrations, integrations, and services. Existing</w:t>
      </w:r>
      <w:r>
        <w:t xml:space="preserve"> </w:t>
      </w:r>
      <w:r>
        <w:rPr>
          <w:rStyle w:val="VerbatimChar"/>
        </w:rPr>
        <w:t xml:space="preserve">/api/*</w:t>
      </w:r>
      <w:r>
        <w:t xml:space="preserve"> </w:t>
      </w:r>
      <w:r>
        <w:t xml:space="preserve">routes remained operational while the new versioned contract surface was introduced under</w:t>
      </w:r>
      <w:r>
        <w:t xml:space="preserve"> </w:t>
      </w:r>
      <w:r>
        <w:rPr>
          <w:rStyle w:val="VerbatimChar"/>
        </w:rPr>
        <w:t xml:space="preserve">/api/v2</w:t>
      </w:r>
      <w:r>
        <w:t xml:space="preserve">.</w:t>
      </w:r>
    </w:p>
    <w:p>
      <w:pPr>
        <w:pStyle w:val="BodyText"/>
      </w:pPr>
      <w:r>
        <w:t xml:space="preserve">Every analytical record was designed to preserve at least:</w:t>
      </w:r>
    </w:p>
    <w:p>
      <w:pPr>
        <w:pStyle w:val="Compact"/>
        <w:numPr>
          <w:ilvl w:val="0"/>
          <w:numId w:val="1004"/>
        </w:numPr>
      </w:pPr>
      <w:r>
        <w:t xml:space="preserve">input data version;</w:t>
      </w:r>
    </w:p>
    <w:p>
      <w:pPr>
        <w:pStyle w:val="Compact"/>
        <w:numPr>
          <w:ilvl w:val="0"/>
          <w:numId w:val="1004"/>
        </w:numPr>
      </w:pPr>
      <w:r>
        <w:t xml:space="preserve">model or engine version;</w:t>
      </w:r>
    </w:p>
    <w:p>
      <w:pPr>
        <w:pStyle w:val="Compact"/>
        <w:numPr>
          <w:ilvl w:val="0"/>
          <w:numId w:val="1004"/>
        </w:numPr>
      </w:pPr>
      <w:r>
        <w:t xml:space="preserve">parameter version;</w:t>
      </w:r>
    </w:p>
    <w:p>
      <w:pPr>
        <w:pStyle w:val="Compact"/>
        <w:numPr>
          <w:ilvl w:val="0"/>
          <w:numId w:val="1004"/>
        </w:numPr>
      </w:pPr>
      <w:r>
        <w:t xml:space="preserve">weather run identifier;</w:t>
      </w:r>
    </w:p>
    <w:p>
      <w:pPr>
        <w:pStyle w:val="Compact"/>
        <w:numPr>
          <w:ilvl w:val="0"/>
          <w:numId w:val="1004"/>
        </w:numPr>
      </w:pPr>
      <w:r>
        <w:t xml:space="preserve">execution timestamp;</w:t>
      </w:r>
    </w:p>
    <w:p>
      <w:pPr>
        <w:pStyle w:val="Compact"/>
        <w:numPr>
          <w:ilvl w:val="0"/>
          <w:numId w:val="1004"/>
        </w:numPr>
      </w:pPr>
      <w:r>
        <w:t xml:space="preserve">simulation seed when applicable;</w:t>
      </w:r>
    </w:p>
    <w:p>
      <w:pPr>
        <w:pStyle w:val="Compact"/>
        <w:numPr>
          <w:ilvl w:val="0"/>
          <w:numId w:val="1004"/>
        </w:numPr>
      </w:pPr>
      <w:r>
        <w:t xml:space="preserve">source-document identifiers;</w:t>
      </w:r>
    </w:p>
    <w:p>
      <w:pPr>
        <w:pStyle w:val="Compact"/>
        <w:numPr>
          <w:ilvl w:val="0"/>
          <w:numId w:val="1004"/>
        </w:numPr>
      </w:pPr>
      <w:r>
        <w:t xml:space="preserve">warnings, limitations, and data-quality flags.</w:t>
      </w:r>
    </w:p>
    <w:p>
      <w:pPr>
        <w:pStyle w:val="FirstParagraph"/>
      </w:pPr>
      <w:r>
        <w:t xml:space="preserve">The general engine abstraction is:</w:t>
      </w:r>
    </w:p>
    <w:p>
      <w:pPr>
        <w:pStyle w:val="BodyText"/>
      </w:pPr>
      <m:oMathPara>
        <m:oMathParaPr>
          <m:jc m:val="center"/>
        </m:oMathParaPr>
        <m:oMath>
          <m:r>
            <m:rPr>
              <m:sty m:val="p"/>
              <m:scr m:val="script"/>
            </m:rPr>
            <m:t>E</m:t>
          </m:r>
          <m:r>
            <m:rPr>
              <m:sty m:val="p"/>
            </m:rPr>
            <m:t>:</m:t>
          </m:r>
          <m:d>
            <m:dPr>
              <m:begChr m:val="("/>
              <m:endChr m:val=")"/>
              <m:sepChr m:val=""/>
              <m:grow/>
            </m:dPr>
            <m:e>
              <m:r>
                <m:t>X</m:t>
              </m:r>
              <m:r>
                <m:rPr>
                  <m:sty m:val="p"/>
                </m:rPr>
                <m:t>,</m:t>
              </m:r>
              <m:sSub>
                <m:e>
                  <m:r>
                    <m:t>V</m:t>
                  </m:r>
                </m:e>
                <m:sub>
                  <m:r>
                    <m:t>D</m:t>
                  </m:r>
                </m:sub>
              </m:sSub>
              <m:r>
                <m:rPr>
                  <m:sty m:val="p"/>
                </m:rPr>
                <m:t>,</m:t>
              </m:r>
              <m:sSub>
                <m:e>
                  <m:r>
                    <m:t>V</m:t>
                  </m:r>
                </m:e>
                <m:sub>
                  <m:r>
                    <m:t>M</m:t>
                  </m:r>
                </m:sub>
              </m:sSub>
              <m:r>
                <m:rPr>
                  <m:sty m:val="p"/>
                </m:rPr>
                <m:t>,</m:t>
              </m:r>
              <m:sSub>
                <m:e>
                  <m:r>
                    <m:t>V</m:t>
                  </m:r>
                </m:e>
                <m:sub>
                  <m:r>
                    <m:t>P</m:t>
                  </m:r>
                </m:sub>
              </m:sSub>
            </m:e>
          </m:d>
          <m:r>
            <m:rPr>
              <m:sty m:val="p"/>
            </m:rPr>
            <m:t>→</m:t>
          </m:r>
          <m:d>
            <m:dPr>
              <m:begChr m:val="("/>
              <m:endChr m:val=")"/>
              <m:sepChr m:val=""/>
              <m:grow/>
            </m:dPr>
            <m:e>
              <m:r>
                <m:t>Y</m:t>
              </m:r>
              <m:r>
                <m:rPr>
                  <m:sty m:val="p"/>
                </m:rPr>
                <m:t>,</m:t>
              </m:r>
              <m:r>
                <m:t>Q</m:t>
              </m:r>
              <m:r>
                <m:rPr>
                  <m:sty m:val="p"/>
                </m:rPr>
                <m:t>,</m:t>
              </m:r>
              <m:r>
                <m:t>Π</m:t>
              </m:r>
            </m:e>
          </m:d>
        </m:oMath>
      </m:oMathPara>
    </w:p>
    <w:p>
      <w:pPr>
        <w:pStyle w:val="FirstParagraph"/>
      </w:pPr>
      <w:r>
        <w:t xml:space="preserve">where</w:t>
      </w:r>
      <w:r>
        <w:t xml:space="preserve"> </w:t>
      </w:r>
      <m:oMath>
        <m:r>
          <m:t>X</m:t>
        </m:r>
      </m:oMath>
      <w:r>
        <w:t xml:space="preserve"> </w:t>
      </w:r>
      <w:r>
        <w:t xml:space="preserve">is the validated input,</w:t>
      </w:r>
      <w:r>
        <w:t xml:space="preserve"> </w:t>
      </w:r>
      <m:oMath>
        <m:sSub>
          <m:e>
            <m:r>
              <m:t>V</m:t>
            </m:r>
          </m:e>
          <m:sub>
            <m:r>
              <m:t>D</m:t>
            </m:r>
          </m:sub>
        </m:sSub>
      </m:oMath>
      <w:r>
        <w:t xml:space="preserve"> </w:t>
      </w:r>
      <w:r>
        <w:t xml:space="preserve">is the data version,</w:t>
      </w:r>
      <w:r>
        <w:t xml:space="preserve"> </w:t>
      </w:r>
      <m:oMath>
        <m:sSub>
          <m:e>
            <m:r>
              <m:t>V</m:t>
            </m:r>
          </m:e>
          <m:sub>
            <m:r>
              <m:t>M</m:t>
            </m:r>
          </m:sub>
        </m:sSub>
      </m:oMath>
      <w:r>
        <w:t xml:space="preserve"> </w:t>
      </w:r>
      <w:r>
        <w:t xml:space="preserve">is the model or engine version,</w:t>
      </w:r>
      <w:r>
        <w:t xml:space="preserve"> </w:t>
      </w:r>
      <m:oMath>
        <m:sSub>
          <m:e>
            <m:r>
              <m:t>V</m:t>
            </m:r>
          </m:e>
          <m:sub>
            <m:r>
              <m:t>P</m:t>
            </m:r>
          </m:sub>
        </m:sSub>
      </m:oMath>
      <w:r>
        <w:t xml:space="preserve"> </w:t>
      </w:r>
      <w:r>
        <w:t xml:space="preserve">is the parameter version,</w:t>
      </w:r>
      <w:r>
        <w:t xml:space="preserve"> </w:t>
      </w:r>
      <m:oMath>
        <m:r>
          <m:t>Y</m:t>
        </m:r>
      </m:oMath>
      <w:r>
        <w:t xml:space="preserve"> </w:t>
      </w:r>
      <w:r>
        <w:t xml:space="preserve">is the analytical output,</w:t>
      </w:r>
      <w:r>
        <w:t xml:space="preserve"> </w:t>
      </w:r>
      <m:oMath>
        <m:r>
          <m:t>Q</m:t>
        </m:r>
      </m:oMath>
      <w:r>
        <w:t xml:space="preserve"> </w:t>
      </w:r>
      <w:r>
        <w:t xml:space="preserve">is the quality and warning record, and</w:t>
      </w:r>
      <w:r>
        <w:t xml:space="preserve"> </w:t>
      </w:r>
      <m:oMath>
        <m:r>
          <m:t>Π</m:t>
        </m:r>
      </m:oMath>
      <w:r>
        <w:t xml:space="preserve"> </w:t>
      </w:r>
      <w:r>
        <w:t xml:space="preserve">is the provenance record.</w:t>
      </w:r>
    </w:p>
    <w:p>
      <w:pPr>
        <w:pStyle w:val="BodyText"/>
      </w:pPr>
      <w:r>
        <w:t xml:space="preserve">This phase also established canonical probability storage on the interval:</w:t>
      </w:r>
    </w:p>
    <w:p>
      <w:pPr>
        <w:pStyle w:val="BodyText"/>
      </w:pPr>
      <m:oMathPara>
        <m:oMathParaPr>
          <m:jc m:val="center"/>
        </m:oMathParaPr>
        <m:oMath>
          <m:r>
            <m:t>0</m:t>
          </m:r>
          <m:r>
            <m:rPr>
              <m:sty m:val="p"/>
            </m:rPr>
            <m:t>≤</m:t>
          </m:r>
          <m:r>
            <m:t>p</m:t>
          </m:r>
          <m:r>
            <m:rPr>
              <m:sty m:val="p"/>
            </m:rPr>
            <m:t>≤</m:t>
          </m:r>
          <m:r>
            <m:t>1</m:t>
          </m:r>
        </m:oMath>
      </m:oMathPara>
    </w:p>
    <w:p>
      <w:pPr>
        <w:pStyle w:val="FirstParagraph"/>
      </w:pPr>
      <w:r>
        <w:t xml:space="preserve">while farmer-facing suitability displays use:</w:t>
      </w:r>
    </w:p>
    <w:p>
      <w:pPr>
        <w:pStyle w:val="BodyText"/>
      </w:pPr>
      <m:oMathPara>
        <m:oMathParaPr>
          <m:jc m:val="center"/>
        </m:oMathParaPr>
        <m:oMath>
          <m:r>
            <m:t>0</m:t>
          </m:r>
          <m:r>
            <m:rPr>
              <m:sty m:val="p"/>
            </m:rPr>
            <m:t>≤</m:t>
          </m:r>
          <m:r>
            <m:t>I</m:t>
          </m:r>
          <m:r>
            <m:rPr>
              <m:sty m:val="p"/>
            </m:rPr>
            <m:t>≤</m:t>
          </m:r>
          <m:r>
            <m:t>100</m:t>
          </m:r>
        </m:oMath>
      </m:oMathPara>
    </w:p>
    <w:bookmarkEnd w:id="25"/>
    <w:bookmarkStart w:id="26" w:name="X5bbe890add9fc147c5fdfd067017484fa3e7c8c"/>
    <w:p>
      <w:pPr>
        <w:pStyle w:val="Heading1"/>
      </w:pPr>
      <w:r>
        <w:t xml:space="preserve">4. Phase 2: Database Migration and PCA Data Foundation</w:t>
      </w:r>
    </w:p>
    <w:p>
      <w:pPr>
        <w:pStyle w:val="FirstParagraph"/>
      </w:pPr>
      <w:r>
        <w:t xml:space="preserve">Phase 2 converted reference documents and the farmer workbook into normalized, auditable data structures.</w:t>
      </w:r>
    </w:p>
    <w:p>
      <w:pPr>
        <w:pStyle w:val="BodyText"/>
      </w:pPr>
      <w:r>
        <w:t xml:space="preserve">The data pipeline uses three layers:</w:t>
      </w:r>
    </w:p>
    <w:p>
      <w:pPr>
        <w:pStyle w:val="SourceCode"/>
      </w:pPr>
      <w:r>
        <w:rPr>
          <w:rStyle w:val="VerbatimChar"/>
        </w:rPr>
        <w:t xml:space="preserve">Raw source</w:t>
      </w:r>
      <w:r>
        <w:br/>
      </w:r>
      <w:r>
        <w:rPr>
          <w:rStyle w:val="VerbatimChar"/>
        </w:rPr>
        <w:t xml:space="preserve">    ↓</w:t>
      </w:r>
      <w:r>
        <w:br/>
      </w:r>
      <w:r>
        <w:rPr>
          <w:rStyle w:val="VerbatimChar"/>
        </w:rPr>
        <w:t xml:space="preserve">Quarantined staging</w:t>
      </w:r>
      <w:r>
        <w:br/>
      </w:r>
      <w:r>
        <w:rPr>
          <w:rStyle w:val="VerbatimChar"/>
        </w:rPr>
        <w:t xml:space="preserve">    ↓</w:t>
      </w:r>
      <w:r>
        <w:br/>
      </w:r>
      <w:r>
        <w:rPr>
          <w:rStyle w:val="VerbatimChar"/>
        </w:rPr>
        <w:t xml:space="preserve">Validated analytical record</w:t>
      </w:r>
    </w:p>
    <w:p>
      <w:pPr>
        <w:pStyle w:val="FirstParagraph"/>
      </w:pPr>
      <w:r>
        <w:t xml:space="preserve">The PCA reference foundation includes:</w:t>
      </w:r>
    </w:p>
    <w:p>
      <w:pPr>
        <w:pStyle w:val="Compact"/>
        <w:numPr>
          <w:ilvl w:val="0"/>
          <w:numId w:val="1005"/>
        </w:numPr>
      </w:pPr>
      <w:r>
        <w:t xml:space="preserve">30 coconut varieties;</w:t>
      </w:r>
    </w:p>
    <w:p>
      <w:pPr>
        <w:pStyle w:val="Compact"/>
        <w:numPr>
          <w:ilvl w:val="0"/>
          <w:numId w:val="1005"/>
        </w:numPr>
      </w:pPr>
      <w:r>
        <w:t xml:space="preserve">408 variety parameters;</w:t>
      </w:r>
    </w:p>
    <w:p>
      <w:pPr>
        <w:pStyle w:val="Compact"/>
        <w:numPr>
          <w:ilvl w:val="0"/>
          <w:numId w:val="1005"/>
        </w:numPr>
      </w:pPr>
      <w:r>
        <w:t xml:space="preserve">5 pest and disease profiles;</w:t>
      </w:r>
    </w:p>
    <w:p>
      <w:pPr>
        <w:pStyle w:val="Compact"/>
        <w:numPr>
          <w:ilvl w:val="0"/>
          <w:numId w:val="1005"/>
        </w:numPr>
      </w:pPr>
      <w:r>
        <w:t xml:space="preserve">17 pest-evidence rules;</w:t>
      </w:r>
    </w:p>
    <w:p>
      <w:pPr>
        <w:pStyle w:val="Compact"/>
        <w:numPr>
          <w:ilvl w:val="0"/>
          <w:numId w:val="1005"/>
        </w:numPr>
      </w:pPr>
      <w:r>
        <w:t xml:space="preserve">14 management actions;</w:t>
      </w:r>
    </w:p>
    <w:p>
      <w:pPr>
        <w:pStyle w:val="Compact"/>
        <w:numPr>
          <w:ilvl w:val="0"/>
          <w:numId w:val="1005"/>
        </w:numPr>
      </w:pPr>
      <w:r>
        <w:t xml:space="preserve">35 intercrop candidates;</w:t>
      </w:r>
    </w:p>
    <w:p>
      <w:pPr>
        <w:pStyle w:val="Compact"/>
        <w:numPr>
          <w:ilvl w:val="0"/>
          <w:numId w:val="1005"/>
        </w:numPr>
      </w:pPr>
      <w:r>
        <w:t xml:space="preserve">81 canopy-light parameters;</w:t>
      </w:r>
    </w:p>
    <w:p>
      <w:pPr>
        <w:pStyle w:val="Compact"/>
        <w:numPr>
          <w:ilvl w:val="0"/>
          <w:numId w:val="1005"/>
        </w:numPr>
      </w:pPr>
      <w:r>
        <w:t xml:space="preserve">2 fertilization scenarios.</w:t>
      </w:r>
    </w:p>
    <w:p>
      <w:pPr>
        <w:pStyle w:val="FirstParagraph"/>
      </w:pPr>
      <w:r>
        <w:t xml:space="preserve">The farmer workbook contained 17,798 records. Its processing pipeline preserved raw evidence while flagging invalid, duplicated, inconsistent, or implausible analytical fields. Protected names are stored separately from pseudonymous analytical identifiers.</w:t>
      </w:r>
    </w:p>
    <w:p>
      <w:pPr>
        <w:pStyle w:val="BodyText"/>
      </w:pPr>
      <w:r>
        <w:t xml:space="preserve">For a farmer record</w:t>
      </w:r>
      <w:r>
        <w:t xml:space="preserve"> </w:t>
      </w:r>
      <m:oMath>
        <m:r>
          <m:t>r</m:t>
        </m:r>
      </m:oMath>
      <w:r>
        <w:t xml:space="preserve">, the analytical identity is generated conceptually as:</w:t>
      </w:r>
    </w:p>
    <w:p>
      <w:pPr>
        <w:pStyle w:val="BodyText"/>
      </w:pPr>
      <m:oMathPara>
        <m:oMathParaPr>
          <m:jc m:val="center"/>
        </m:oMathParaPr>
        <m:oMath>
          <m:sSub>
            <m:e>
              <m:r>
                <m:rPr>
                  <m:sty m:val="p"/>
                </m:rPr>
                <m:t>id</m:t>
              </m:r>
            </m:e>
            <m:sub>
              <m:r>
                <m:t>r</m:t>
              </m:r>
            </m:sub>
          </m:sSub>
          <m:r>
            <m:rPr>
              <m:sty m:val="p"/>
            </m:rPr>
            <m:t>=</m:t>
          </m:r>
          <m:r>
            <m:rPr>
              <m:sty m:val="p"/>
            </m:rPr>
            <m:t>UUID</m:t>
          </m:r>
          <m:r>
            <m:t>​</m:t>
          </m:r>
          <m:d>
            <m:dPr>
              <m:begChr m:val="("/>
              <m:endChr m:val=")"/>
              <m:sepChr m:val=""/>
              <m:grow/>
            </m:dPr>
            <m:e>
              <m:sSub>
                <m:e>
                  <m:r>
                    <m:rPr>
                      <m:sty m:val="p"/>
                    </m:rPr>
                    <m:t>HMAC</m:t>
                  </m:r>
                </m:e>
                <m:sub>
                  <m:r>
                    <m:t>k</m:t>
                  </m:r>
                </m:sub>
              </m:sSub>
              <m:d>
                <m:dPr>
                  <m:begChr m:val="("/>
                  <m:endChr m:val=")"/>
                  <m:sepChr m:val=""/>
                  <m:grow/>
                </m:dPr>
                <m:e>
                  <m:r>
                    <m:rPr>
                      <m:nor/>
                      <m:sty m:val="p"/>
                    </m:rPr>
                    <m:t>normalized identity fields</m:t>
                  </m:r>
                </m:e>
              </m:d>
            </m:e>
          </m:d>
        </m:oMath>
      </m:oMathPara>
    </w:p>
    <w:p>
      <w:pPr>
        <w:pStyle w:val="FirstParagraph"/>
      </w:pPr>
      <w:r>
        <w:t xml:space="preserve">where the secret key</w:t>
      </w:r>
      <w:r>
        <w:t xml:space="preserve"> </w:t>
      </w:r>
      <m:oMath>
        <m:r>
          <m:t>k</m:t>
        </m:r>
      </m:oMath>
      <w:r>
        <w:t xml:space="preserve"> </w:t>
      </w:r>
      <w:r>
        <w:t xml:space="preserve">remains outside public analytical responses. This allows stable linkage without exposing the farmer name.</w:t>
      </w:r>
    </w:p>
    <w:bookmarkEnd w:id="26"/>
    <w:bookmarkStart w:id="29" w:name="phase-3-weather-assimilation-engine"/>
    <w:p>
      <w:pPr>
        <w:pStyle w:val="Heading1"/>
      </w:pPr>
      <w:r>
        <w:t xml:space="preserve">5. Phase 3: Weather Assimilation Engine</w:t>
      </w:r>
    </w:p>
    <w:p>
      <w:pPr>
        <w:pStyle w:val="FirstParagraph"/>
      </w:pPr>
      <w:r>
        <w:t xml:space="preserve">Phase 3 created a versioned weather subsystem with strict separation among observed values, historical values, genuine numerical forecasts, cached provider results, and future climate-conditioned simulations.</w:t>
      </w:r>
    </w:p>
    <w:bookmarkStart w:id="27" w:name="live-forecast-boundary"/>
    <w:p>
      <w:pPr>
        <w:pStyle w:val="Heading2"/>
      </w:pPr>
      <w:r>
        <w:t xml:space="preserve">5.1 Live forecast boundary</w:t>
      </w:r>
    </w:p>
    <w:p>
      <w:pPr>
        <w:pStyle w:val="FirstParagraph"/>
      </w:pPr>
      <w:r>
        <w:t xml:space="preserve">The live weather horizon is restricted to:</w:t>
      </w:r>
    </w:p>
    <w:p>
      <w:pPr>
        <w:pStyle w:val="BodyText"/>
      </w:pPr>
      <m:oMathPara>
        <m:oMathParaPr>
          <m:jc m:val="center"/>
        </m:oMathParaPr>
        <m:oMath>
          <m:r>
            <m:t>1</m:t>
          </m:r>
          <m:r>
            <m:rPr>
              <m:sty m:val="p"/>
            </m:rPr>
            <m:t>≤</m:t>
          </m:r>
          <m:sSub>
            <m:e>
              <m:r>
                <m:t>H</m:t>
              </m:r>
            </m:e>
            <m:sub>
              <m:r>
                <m:rPr>
                  <m:nor/>
                  <m:sty m:val="p"/>
                </m:rPr>
                <m:t>forecast</m:t>
              </m:r>
            </m:sub>
          </m:sSub>
          <m:r>
            <m:rPr>
              <m:sty m:val="p"/>
            </m:rPr>
            <m:t>≤</m:t>
          </m:r>
          <m:r>
            <m:t>16</m:t>
          </m:r>
          <m:r>
            <m:rPr>
              <m:nor/>
              <m:sty m:val="p"/>
            </m:rPr>
            <m:t> days</m:t>
          </m:r>
        </m:oMath>
      </m:oMathPara>
    </w:p>
    <w:p>
      <w:pPr>
        <w:pStyle w:val="FirstParagraph"/>
      </w:pPr>
      <w:r>
        <w:t xml:space="preserve">Anything beyond the genuine provider horizon is excluded from the Live Weather GIS and belongs to climate-conditioned simulation.</w:t>
      </w:r>
    </w:p>
    <w:bookmarkEnd w:id="27"/>
    <w:bookmarkStart w:id="28" w:name="weather-feature-vector"/>
    <w:p>
      <w:pPr>
        <w:pStyle w:val="Heading2"/>
      </w:pPr>
      <w:r>
        <w:t xml:space="preserve">5.2 Weather feature vector</w:t>
      </w:r>
    </w:p>
    <w:p>
      <w:pPr>
        <w:pStyle w:val="FirstParagraph"/>
      </w:pPr>
      <w:r>
        <w:t xml:space="preserve">For farm location</w:t>
      </w:r>
      <w:r>
        <w:t xml:space="preserve"> </w:t>
      </w:r>
      <m:oMath>
        <m:r>
          <m:t>g</m:t>
        </m:r>
      </m:oMath>
      <w:r>
        <w:t xml:space="preserve"> </w:t>
      </w:r>
      <w:r>
        <w:t xml:space="preserve">and time</w:t>
      </w:r>
      <w:r>
        <w:t xml:space="preserve"> </w:t>
      </w:r>
      <m:oMath>
        <m:r>
          <m:t>t</m:t>
        </m:r>
      </m:oMath>
      <w:r>
        <w:t xml:space="preserve">, the weather state is represented by:</w:t>
      </w:r>
    </w:p>
    <w:p>
      <w:pPr>
        <w:pStyle w:val="BodyText"/>
      </w:pPr>
      <m:oMathPara>
        <m:oMathParaPr>
          <m:jc m:val="center"/>
        </m:oMathParaPr>
        <m:oMath>
          <m:sSub>
            <m:e>
              <m:r>
                <m:rPr>
                  <m:sty m:val="b"/>
                </m:rPr>
                <m:t>W</m:t>
              </m:r>
            </m:e>
            <m:sub>
              <m:r>
                <m:t>g</m:t>
              </m:r>
              <m:r>
                <m:rPr>
                  <m:sty m:val="p"/>
                </m:rPr>
                <m:t>,</m:t>
              </m:r>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R</m:t>
                            </m:r>
                          </m:e>
                          <m:sub>
                            <m:r>
                              <m:t>t</m:t>
                            </m:r>
                          </m:sub>
                        </m:sSub>
                      </m:e>
                      <m:e>
                        <m:sSub>
                          <m:e>
                            <m:r>
                              <m:t>T</m:t>
                            </m:r>
                          </m:e>
                          <m:sub>
                            <m:r>
                              <m:t>t</m:t>
                            </m:r>
                          </m:sub>
                        </m:sSub>
                      </m:e>
                      <m:e>
                        <m:sSubSup>
                          <m:e>
                            <m:r>
                              <m:t>T</m:t>
                            </m:r>
                          </m:e>
                          <m:sub>
                            <m:r>
                              <m:t>t</m:t>
                            </m:r>
                          </m:sub>
                          <m:sup>
                            <m:r>
                              <m:rPr>
                                <m:sty m:val="p"/>
                              </m:rPr>
                              <m:t>max</m:t>
                            </m:r>
                          </m:sup>
                        </m:sSubSup>
                      </m:e>
                      <m:e>
                        <m:sSub>
                          <m:e>
                            <m:r>
                              <m:t>H</m:t>
                            </m:r>
                          </m:e>
                          <m:sub>
                            <m:r>
                              <m:t>t</m:t>
                            </m:r>
                          </m:sub>
                        </m:sSub>
                      </m:e>
                      <m:e>
                        <m:sSub>
                          <m:e>
                            <m:r>
                              <m:rPr>
                                <m:sty m:val="p"/>
                              </m:rPr>
                              <m:t>VPD</m:t>
                            </m:r>
                          </m:e>
                          <m:sub>
                            <m:r>
                              <m:t>t</m:t>
                            </m:r>
                          </m:sub>
                        </m:sSub>
                      </m:e>
                      <m:e>
                        <m:r>
                          <m:t>E</m:t>
                        </m:r>
                        <m:sSub>
                          <m:e>
                            <m:r>
                              <m:t>T</m:t>
                            </m:r>
                          </m:e>
                          <m:sub>
                            <m:r>
                              <m:t>0</m:t>
                            </m:r>
                            <m:r>
                              <m:rPr>
                                <m:sty m:val="p"/>
                              </m:rPr>
                              <m:t>,</m:t>
                            </m:r>
                            <m:r>
                              <m:t>t</m:t>
                            </m:r>
                          </m:sub>
                        </m:sSub>
                      </m:e>
                      <m:e>
                        <m:r>
                          <m:t>S</m:t>
                        </m:r>
                        <m:sSub>
                          <m:e>
                            <m:r>
                              <m:t>M</m:t>
                            </m:r>
                          </m:e>
                          <m:sub>
                            <m:r>
                              <m:t>t</m:t>
                            </m:r>
                          </m:sub>
                        </m:sSub>
                      </m:e>
                      <m:e>
                        <m:r>
                          <m:t>S</m:t>
                        </m:r>
                        <m:sSub>
                          <m:e>
                            <m:r>
                              <m:t>R</m:t>
                            </m:r>
                          </m:e>
                          <m:sub>
                            <m:r>
                              <m:t>t</m:t>
                            </m:r>
                          </m:sub>
                        </m:sSub>
                      </m:e>
                      <m:e>
                        <m:sSub>
                          <m:e>
                            <m:r>
                              <m:t>U</m:t>
                            </m:r>
                          </m:e>
                          <m:sub>
                            <m:r>
                              <m:t>t</m:t>
                            </m:r>
                          </m:sub>
                        </m:sSub>
                      </m:e>
                      <m:e>
                        <m:sSub>
                          <m:e>
                            <m:r>
                              <m:t>G</m:t>
                            </m:r>
                          </m:e>
                          <m:sub>
                            <m:r>
                              <m:t>t</m:t>
                            </m:r>
                          </m:sub>
                        </m:sSub>
                      </m:e>
                    </m:mr>
                  </m:m>
                </m:e>
              </m:d>
            </m:e>
            <m:sup>
              <m:r>
                <m:rPr>
                  <m:sty m:val="p"/>
                  <m:scr m:val="sans-serif"/>
                </m:rPr>
                <m:t>T</m:t>
              </m:r>
            </m:sup>
          </m:sSup>
        </m:oMath>
      </m:oMathPara>
    </w:p>
    <w:p>
      <w:pPr>
        <w:pStyle w:val="FirstParagraph"/>
      </w:pPr>
      <w:r>
        <w:t xml:space="preserve">where rainfall, temperature, relative humidity, vapor-pressure deficit, reference evapotranspiration, soil moisture, solar radiation, wind speed, and gust intensity are stored or derived from the weather run.</w:t>
      </w:r>
    </w:p>
    <w:p>
      <w:pPr>
        <w:pStyle w:val="BodyText"/>
      </w:pPr>
      <w:r>
        <w:t xml:space="preserve">Lagged rainfall is calculated as:</w:t>
      </w:r>
    </w:p>
    <w:p>
      <w:pPr>
        <w:pStyle w:val="BodyText"/>
      </w:pPr>
      <m:oMathPara>
        <m:oMathParaPr>
          <m:jc m:val="center"/>
        </m:oMathParaPr>
        <m:oMath>
          <m:sSub>
            <m:e>
              <m:r>
                <m:t>R</m:t>
              </m:r>
            </m:e>
            <m:sub>
              <m:r>
                <m:t>k</m:t>
              </m:r>
              <m:r>
                <m:rPr>
                  <m:sty m:val="p"/>
                </m:rPr>
                <m:t>,</m:t>
              </m:r>
              <m:r>
                <m:t>t</m:t>
              </m:r>
            </m:sub>
          </m:sSub>
          <m:r>
            <m:rPr>
              <m:sty m:val="p"/>
            </m:rPr>
            <m:t>=</m:t>
          </m:r>
          <m:nary>
            <m:naryPr>
              <m:chr m:val="∑"/>
              <m:limLoc m:val="undOvr"/>
              <m:subHide m:val="off"/>
              <m:supHide m:val="off"/>
            </m:naryPr>
            <m:sub>
              <m:r>
                <m:t>d</m:t>
              </m:r>
              <m:r>
                <m:rPr>
                  <m:sty m:val="p"/>
                </m:rPr>
                <m:t>=</m:t>
              </m:r>
              <m:r>
                <m:t>t</m:t>
              </m:r>
              <m:r>
                <m:rPr>
                  <m:sty m:val="p"/>
                </m:rPr>
                <m:t>−</m:t>
              </m:r>
              <m:r>
                <m:t>k</m:t>
              </m:r>
              <m:r>
                <m:rPr>
                  <m:sty m:val="p"/>
                </m:rPr>
                <m:t>+</m:t>
              </m:r>
              <m:r>
                <m:t>1</m:t>
              </m:r>
            </m:sub>
            <m:sup>
              <m:r>
                <m:t>t</m:t>
              </m:r>
            </m:sup>
            <m:e>
              <m:sSub>
                <m:e>
                  <m:r>
                    <m:t>R</m:t>
                  </m:r>
                </m:e>
                <m:sub>
                  <m:r>
                    <m:t>d</m:t>
                  </m:r>
                </m:sub>
              </m:sSub>
            </m:e>
          </m:nary>
        </m:oMath>
      </m:oMathPara>
    </w:p>
    <w:p>
      <w:pPr>
        <w:pStyle w:val="FirstParagraph"/>
      </w:pPr>
      <w:r>
        <w:t xml:space="preserve">Consecutive dry days are:</w:t>
      </w:r>
    </w:p>
    <w:p>
      <w:pPr>
        <w:pStyle w:val="BodyText"/>
      </w:pPr>
      <m:oMathPara>
        <m:oMathParaPr>
          <m:jc m:val="center"/>
        </m:oMathParaPr>
        <m:oMath>
          <m:sSub>
            <m:e>
              <m:r>
                <m:t>D</m:t>
              </m:r>
            </m:e>
            <m:sub>
              <m:r>
                <m:t>t</m:t>
              </m:r>
            </m:sub>
          </m:sSub>
          <m:r>
            <m:rPr>
              <m:sty m:val="p"/>
            </m:rPr>
            <m:t>=</m:t>
          </m:r>
          <m:r>
            <m:rPr>
              <m:sty m:val="p"/>
            </m:rPr>
            <m:t>max</m:t>
          </m:r>
          <m:d>
            <m:dPr>
              <m:begChr m:val="{"/>
              <m:endChr m:val="}"/>
              <m:sepChr m:val=""/>
              <m:grow/>
            </m:dPr>
            <m:e>
              <m:r>
                <m:t>m</m:t>
              </m:r>
              <m:r>
                <m:rPr>
                  <m:sty m:val="p"/>
                </m:rPr>
                <m:t>:</m:t>
              </m:r>
              <m:sSub>
                <m:e>
                  <m:r>
                    <m:t>R</m:t>
                  </m:r>
                </m:e>
                <m:sub>
                  <m:r>
                    <m:t>t</m:t>
                  </m:r>
                  <m:r>
                    <m:rPr>
                      <m:sty m:val="p"/>
                    </m:rPr>
                    <m:t>−</m:t>
                  </m:r>
                  <m:r>
                    <m:t>j</m:t>
                  </m:r>
                </m:sub>
              </m:sSub>
              <m:r>
                <m:rPr>
                  <m:sty m:val="p"/>
                </m:rPr>
                <m:t>&lt;</m:t>
              </m:r>
              <m:sSub>
                <m:e>
                  <m:r>
                    <m:t>R</m:t>
                  </m:r>
                </m:e>
                <m:sub>
                  <m:r>
                    <m:rPr>
                      <m:nor/>
                      <m:sty m:val="p"/>
                    </m:rPr>
                    <m:t>dry</m:t>
                  </m:r>
                </m:sub>
              </m:sSub>
              <m:r>
                <m:rPr>
                  <m:nor/>
                  <m:sty m:val="p"/>
                </m:rPr>
                <m:t> for </m:t>
              </m:r>
              <m:r>
                <m:t>j</m:t>
              </m:r>
              <m:r>
                <m:rPr>
                  <m:sty m:val="p"/>
                </m:rPr>
                <m:t>=</m:t>
              </m:r>
              <m:r>
                <m:t>0</m:t>
              </m:r>
              <m:r>
                <m:rPr>
                  <m:sty m:val="p"/>
                </m:rPr>
                <m:t>,</m:t>
              </m:r>
              <m:r>
                <m:rPr>
                  <m:sty m:val="p"/>
                </m:rPr>
                <m:t>…</m:t>
              </m:r>
              <m:r>
                <m:rPr>
                  <m:sty m:val="p"/>
                </m:rPr>
                <m:t>,</m:t>
              </m:r>
              <m:r>
                <m:t>m</m:t>
              </m:r>
              <m:r>
                <m:rPr>
                  <m:sty m:val="p"/>
                </m:rPr>
                <m:t>−</m:t>
              </m:r>
              <m:r>
                <m:t>1</m:t>
              </m:r>
            </m:e>
          </m:d>
        </m:oMath>
      </m:oMathPara>
    </w:p>
    <w:p>
      <w:pPr>
        <w:pStyle w:val="FirstParagraph"/>
      </w:pPr>
      <w:r>
        <w:t xml:space="preserve">Heat-stress days in a rolling window are:</w:t>
      </w:r>
    </w:p>
    <w:p>
      <w:pPr>
        <w:pStyle w:val="BodyText"/>
      </w:pPr>
      <m:oMathPara>
        <m:oMathParaPr>
          <m:jc m:val="center"/>
        </m:oMathParaPr>
        <m:oMath>
          <m:r>
            <m:t>H</m:t>
          </m:r>
          <m:sSub>
            <m:e>
              <m:r>
                <m:t>S</m:t>
              </m:r>
            </m:e>
            <m:sub>
              <m:r>
                <m:t>k</m:t>
              </m:r>
              <m:r>
                <m:rPr>
                  <m:sty m:val="p"/>
                </m:rPr>
                <m:t>,</m:t>
              </m:r>
              <m:r>
                <m:t>t</m:t>
              </m:r>
            </m:sub>
          </m:sSub>
          <m:r>
            <m:rPr>
              <m:sty m:val="p"/>
            </m:rPr>
            <m:t>=</m:t>
          </m:r>
          <m:nary>
            <m:naryPr>
              <m:chr m:val="∑"/>
              <m:limLoc m:val="undOvr"/>
              <m:subHide m:val="off"/>
              <m:supHide m:val="off"/>
            </m:naryPr>
            <m:sub>
              <m:r>
                <m:t>d</m:t>
              </m:r>
              <m:r>
                <m:rPr>
                  <m:sty m:val="p"/>
                </m:rPr>
                <m:t>=</m:t>
              </m:r>
              <m:r>
                <m:t>t</m:t>
              </m:r>
              <m:r>
                <m:rPr>
                  <m:sty m:val="p"/>
                </m:rPr>
                <m:t>−</m:t>
              </m:r>
              <m:r>
                <m:t>k</m:t>
              </m:r>
              <m:r>
                <m:rPr>
                  <m:sty m:val="p"/>
                </m:rPr>
                <m:t>+</m:t>
              </m:r>
              <m:r>
                <m:t>1</m:t>
              </m:r>
            </m:sub>
            <m:sup>
              <m:r>
                <m:t>t</m:t>
              </m:r>
            </m:sup>
            <m:e>
              <m:r>
                <m:rPr>
                  <m:sty m:val="p"/>
                  <m:scr m:val="double-struck"/>
                </m:rPr>
                <m:t>I</m:t>
              </m:r>
            </m:e>
          </m:nary>
          <m:r>
            <m:t>​</m:t>
          </m:r>
          <m:d>
            <m:dPr>
              <m:begChr m:val="("/>
              <m:endChr m:val=")"/>
              <m:sepChr m:val=""/>
              <m:grow/>
            </m:dPr>
            <m:e>
              <m:sSubSup>
                <m:e>
                  <m:r>
                    <m:t>T</m:t>
                  </m:r>
                </m:e>
                <m:sub>
                  <m:r>
                    <m:t>d</m:t>
                  </m:r>
                </m:sub>
                <m:sup>
                  <m:r>
                    <m:rPr>
                      <m:sty m:val="p"/>
                    </m:rPr>
                    <m:t>max</m:t>
                  </m:r>
                </m:sup>
              </m:sSubSup>
              <m:r>
                <m:rPr>
                  <m:sty m:val="p"/>
                </m:rPr>
                <m:t>&gt;</m:t>
              </m:r>
              <m:sSub>
                <m:e>
                  <m:r>
                    <m:t>T</m:t>
                  </m:r>
                </m:e>
                <m:sub>
                  <m:r>
                    <m:rPr>
                      <m:nor/>
                      <m:sty m:val="p"/>
                    </m:rPr>
                    <m:t>critical</m:t>
                  </m:r>
                </m:sub>
              </m:sSub>
            </m:e>
          </m:d>
        </m:oMath>
      </m:oMathPara>
    </w:p>
    <w:p>
      <w:pPr>
        <w:pStyle w:val="FirstParagraph"/>
      </w:pPr>
      <w:r>
        <w:t xml:space="preserve">The moisture balance is represented as:</w:t>
      </w:r>
    </w:p>
    <w:p>
      <w:pPr>
        <w:pStyle w:val="BodyText"/>
      </w:pPr>
      <m:oMathPara>
        <m:oMathParaPr>
          <m:jc m:val="center"/>
        </m:oMathParaPr>
        <m:oMath>
          <m:r>
            <m:t>M</m:t>
          </m:r>
          <m:sSub>
            <m:e>
              <m:r>
                <m:t>B</m:t>
              </m:r>
            </m:e>
            <m:sub>
              <m:r>
                <m:t>k</m:t>
              </m:r>
              <m:r>
                <m:rPr>
                  <m:sty m:val="p"/>
                </m:rPr>
                <m:t>,</m:t>
              </m:r>
              <m:r>
                <m:t>t</m:t>
              </m:r>
            </m:sub>
          </m:sSub>
          <m:r>
            <m:rPr>
              <m:sty m:val="p"/>
            </m:rPr>
            <m:t>=</m:t>
          </m:r>
          <m:nary>
            <m:naryPr>
              <m:chr m:val="∑"/>
              <m:limLoc m:val="undOvr"/>
              <m:subHide m:val="off"/>
              <m:supHide m:val="off"/>
            </m:naryPr>
            <m:sub>
              <m:r>
                <m:t>d</m:t>
              </m:r>
              <m:r>
                <m:rPr>
                  <m:sty m:val="p"/>
                </m:rPr>
                <m:t>=</m:t>
              </m:r>
              <m:r>
                <m:t>t</m:t>
              </m:r>
              <m:r>
                <m:rPr>
                  <m:sty m:val="p"/>
                </m:rPr>
                <m:t>−</m:t>
              </m:r>
              <m:r>
                <m:t>k</m:t>
              </m:r>
              <m:r>
                <m:rPr>
                  <m:sty m:val="p"/>
                </m:rPr>
                <m:t>+</m:t>
              </m:r>
              <m:r>
                <m:t>1</m:t>
              </m:r>
            </m:sub>
            <m:sup>
              <m:r>
                <m:t>t</m:t>
              </m:r>
            </m:sup>
            <m:e>
              <m:d>
                <m:dPr>
                  <m:begChr m:val="("/>
                  <m:endChr m:val=")"/>
                  <m:sepChr m:val=""/>
                  <m:grow/>
                </m:dPr>
                <m:e>
                  <m:sSub>
                    <m:e>
                      <m:r>
                        <m:t>R</m:t>
                      </m:r>
                    </m:e>
                    <m:sub>
                      <m:r>
                        <m:t>d</m:t>
                      </m:r>
                    </m:sub>
                  </m:sSub>
                  <m:r>
                    <m:rPr>
                      <m:sty m:val="p"/>
                    </m:rPr>
                    <m:t>−</m:t>
                  </m:r>
                  <m:r>
                    <m:t>E</m:t>
                  </m:r>
                  <m:sSub>
                    <m:e>
                      <m:r>
                        <m:t>T</m:t>
                      </m:r>
                    </m:e>
                    <m:sub>
                      <m:r>
                        <m:t>0</m:t>
                      </m:r>
                      <m:r>
                        <m:rPr>
                          <m:sty m:val="p"/>
                        </m:rPr>
                        <m:t>,</m:t>
                      </m:r>
                      <m:r>
                        <m:t>d</m:t>
                      </m:r>
                    </m:sub>
                  </m:sSub>
                </m:e>
              </m:d>
            </m:e>
          </m:nary>
        </m:oMath>
      </m:oMathPara>
    </w:p>
    <w:p>
      <w:pPr>
        <w:pStyle w:val="FirstParagraph"/>
      </w:pPr>
      <w:r>
        <w:t xml:space="preserve">Fourteen versioned agricultural features are stored under adapter version</w:t>
      </w:r>
      <w:r>
        <w:t xml:space="preserve"> </w:t>
      </w:r>
      <w:r>
        <w:rPr>
          <w:rStyle w:val="VerbatimChar"/>
        </w:rPr>
        <w:t xml:space="preserve">weather-features-1.0.0</w:t>
      </w:r>
      <w:r>
        <w:t xml:space="preserve">.</w:t>
      </w:r>
    </w:p>
    <w:bookmarkEnd w:id="28"/>
    <w:bookmarkEnd w:id="29"/>
    <w:bookmarkStart w:id="30" w:name="X32901e77f46e14b2a7839efca94d175e88361c9"/>
    <w:p>
      <w:pPr>
        <w:pStyle w:val="Heading1"/>
      </w:pPr>
      <w:r>
        <w:t xml:space="preserve">6. Phase 4: Production Engine Preservation and Upgrade</w:t>
      </w:r>
    </w:p>
    <w:p>
      <w:pPr>
        <w:pStyle w:val="FirstParagraph"/>
      </w:pPr>
      <w:r>
        <w:t xml:space="preserve">Phase 4 preserved the existing machine-learning model without changing its trained weights. A versioned feature adapter freezes the model’s original 19-feature order and maps new farm and weather records into the legacy input boundary.</w:t>
      </w:r>
    </w:p>
    <w:p>
      <w:pPr>
        <w:pStyle w:val="BodyText"/>
      </w:pPr>
      <w:r>
        <w:t xml:space="preserve">The raw model prediction is:</w:t>
      </w:r>
    </w:p>
    <w:p>
      <w:pPr>
        <w:pStyle w:val="BodyText"/>
      </w:pPr>
      <m:oMathPara>
        <m:oMathParaPr>
          <m:jc m:val="center"/>
        </m:oMathParaPr>
        <m:oMath>
          <m:sSubSup>
            <m:e>
              <m:acc>
                <m:accPr>
                  <m:chr m:val="̂"/>
                </m:accPr>
                <m:e>
                  <m:r>
                    <m:t>Y</m:t>
                  </m:r>
                </m:e>
              </m:acc>
            </m:e>
            <m:sub>
              <m:r>
                <m:t>t</m:t>
              </m:r>
            </m:sub>
            <m:sup>
              <m:r>
                <m:rPr>
                  <m:nor/>
                  <m:sty m:val="p"/>
                </m:rPr>
                <m:t>ML</m:t>
              </m:r>
            </m:sup>
          </m:sSubSup>
          <m:r>
            <m:rPr>
              <m:sty m:val="p"/>
            </m:rPr>
            <m:t>=</m:t>
          </m:r>
          <m:sSub>
            <m:e>
              <m:r>
                <m:t>f</m:t>
              </m:r>
            </m:e>
            <m:sub>
              <m:r>
                <m:rPr>
                  <m:nor/>
                  <m:sty m:val="p"/>
                </m:rPr>
                <m:t>ML</m:t>
              </m:r>
            </m:sub>
          </m:sSub>
          <m:r>
            <m:t>​</m:t>
          </m:r>
          <m:d>
            <m:dPr>
              <m:begChr m:val="("/>
              <m:endChr m:val=")"/>
              <m:sepChr m:val=""/>
              <m:grow/>
            </m:dPr>
            <m:e>
              <m:sSub>
                <m:e>
                  <m:r>
                    <m:rPr>
                      <m:sty m:val="b"/>
                    </m:rPr>
                    <m:t>X</m:t>
                  </m:r>
                </m:e>
                <m:sub>
                  <m:r>
                    <m:t>t</m:t>
                  </m:r>
                </m:sub>
              </m:sSub>
            </m:e>
          </m:d>
        </m:oMath>
      </m:oMathPara>
    </w:p>
    <w:p>
      <w:pPr>
        <w:pStyle w:val="FirstParagraph"/>
      </w:pPr>
      <w:r>
        <w:t xml:space="preserve">A new weather run changes</w:t>
      </w:r>
      <w:r>
        <w:t xml:space="preserve"> </w:t>
      </w:r>
      <m:oMath>
        <m:sSub>
          <m:e>
            <m:r>
              <m:rPr>
                <m:sty m:val="b"/>
              </m:rPr>
              <m:t>X</m:t>
            </m:r>
          </m:e>
          <m:sub>
            <m:r>
              <m:t>t</m:t>
            </m:r>
          </m:sub>
        </m:sSub>
      </m:oMath>
      <w:r>
        <w:t xml:space="preserve"> </w:t>
      </w:r>
      <w:r>
        <w:t xml:space="preserve">and therefore changes the prediction, but does not modify the model parameters:</w:t>
      </w:r>
    </w:p>
    <w:p>
      <w:pPr>
        <w:pStyle w:val="BodyText"/>
      </w:pPr>
      <m:oMathPara>
        <m:oMathParaPr>
          <m:jc m:val="center"/>
        </m:oMathParaPr>
        <m:oMath>
          <m:sSub>
            <m:e>
              <m:r>
                <m:t>θ</m:t>
              </m:r>
            </m:e>
            <m:sub>
              <m:r>
                <m:rPr>
                  <m:nor/>
                  <m:sty m:val="p"/>
                </m:rPr>
                <m:t>ML</m:t>
              </m:r>
              <m:r>
                <m:rPr>
                  <m:sty m:val="p"/>
                </m:rPr>
                <m:t>,</m:t>
              </m:r>
              <m:r>
                <m:t>t</m:t>
              </m:r>
              <m:r>
                <m:rPr>
                  <m:sty m:val="p"/>
                </m:rPr>
                <m:t>+</m:t>
              </m:r>
              <m:r>
                <m:t>1</m:t>
              </m:r>
            </m:sub>
          </m:sSub>
          <m:r>
            <m:rPr>
              <m:sty m:val="p"/>
            </m:rPr>
            <m:t>=</m:t>
          </m:r>
          <m:sSub>
            <m:e>
              <m:r>
                <m:t>θ</m:t>
              </m:r>
            </m:e>
            <m:sub>
              <m:r>
                <m:rPr>
                  <m:nor/>
                  <m:sty m:val="p"/>
                </m:rPr>
                <m:t>ML</m:t>
              </m:r>
              <m:r>
                <m:rPr>
                  <m:sty m:val="p"/>
                </m:rPr>
                <m:t>,</m:t>
              </m:r>
              <m:r>
                <m:t>t</m:t>
              </m:r>
            </m:sub>
          </m:sSub>
        </m:oMath>
      </m:oMathPara>
    </w:p>
    <w:p>
      <w:pPr>
        <w:pStyle w:val="FirstParagraph"/>
      </w:pPr>
      <w:r>
        <w:t xml:space="preserve">The variety-adjusted estimate is:</w:t>
      </w:r>
    </w:p>
    <w:p>
      <w:pPr>
        <w:pStyle w:val="BodyText"/>
      </w:pPr>
      <m:oMathPara>
        <m:oMathParaPr>
          <m:jc m:val="center"/>
        </m:oMathParaPr>
        <m:oMath>
          <m:sSubSup>
            <m:e>
              <m:acc>
                <m:accPr>
                  <m:chr m:val="̂"/>
                </m:accPr>
                <m:e>
                  <m:r>
                    <m:t>Y</m:t>
                  </m:r>
                </m:e>
              </m:acc>
            </m:e>
            <m:sub>
              <m:r>
                <m:t>t</m:t>
              </m:r>
            </m:sub>
            <m:sup>
              <m:r>
                <m:rPr>
                  <m:nor/>
                  <m:sty m:val="p"/>
                </m:rPr>
                <m:t>var</m:t>
              </m:r>
            </m:sup>
          </m:sSubSup>
          <m:r>
            <m:rPr>
              <m:sty m:val="p"/>
            </m:rPr>
            <m:t>=</m:t>
          </m:r>
          <m:sSubSup>
            <m:e>
              <m:acc>
                <m:accPr>
                  <m:chr m:val="̂"/>
                </m:accPr>
                <m:e>
                  <m:r>
                    <m:t>Y</m:t>
                  </m:r>
                </m:e>
              </m:acc>
            </m:e>
            <m:sub>
              <m:r>
                <m:t>t</m:t>
              </m:r>
            </m:sub>
            <m:sup>
              <m:r>
                <m:rPr>
                  <m:nor/>
                  <m:sty m:val="p"/>
                </m:rPr>
                <m:t>ML</m:t>
              </m:r>
            </m:sup>
          </m:sSubSup>
          <m:r>
            <m:rPr>
              <m:sty m:val="p"/>
            </m:rPr>
            <m:t>⋅</m:t>
          </m:r>
          <m:sSub>
            <m:e>
              <m:r>
                <m:t>a</m:t>
              </m:r>
            </m:e>
            <m:sub>
              <m:r>
                <m:t>v</m:t>
              </m:r>
            </m:sub>
          </m:sSub>
        </m:oMath>
      </m:oMathPara>
    </w:p>
    <w:p>
      <w:pPr>
        <w:pStyle w:val="FirstParagraph"/>
      </w:pPr>
      <w:r>
        <w:t xml:space="preserve">where</w:t>
      </w:r>
      <w:r>
        <w:t xml:space="preserve"> </w:t>
      </w:r>
      <m:oMath>
        <m:sSub>
          <m:e>
            <m:r>
              <m:t>a</m:t>
            </m:r>
          </m:e>
          <m:sub>
            <m:r>
              <m:t>v</m:t>
            </m:r>
          </m:sub>
        </m:sSub>
      </m:oMath>
      <w:r>
        <w:t xml:space="preserve"> </w:t>
      </w:r>
      <w:r>
        <w:t xml:space="preserve">is a bounded, provenance-linked adjustment derived from the selected PCA variety and its class.</w:t>
      </w:r>
    </w:p>
    <w:p>
      <w:pPr>
        <w:pStyle w:val="BodyText"/>
      </w:pPr>
      <w:r>
        <w:t xml:space="preserve">The three production layers are kept distinct:</w:t>
      </w:r>
    </w:p>
    <w:p>
      <w:pPr>
        <w:pStyle w:val="BodyText"/>
      </w:pPr>
      <m:oMathPara>
        <m:oMathParaPr>
          <m:jc m:val="center"/>
        </m:oMathParaPr>
        <m:oMath>
          <m:sSubSup>
            <m:e>
              <m:acc>
                <m:accPr>
                  <m:chr m:val="̂"/>
                </m:accPr>
                <m:e>
                  <m:r>
                    <m:t>Y</m:t>
                  </m:r>
                </m:e>
              </m:acc>
            </m:e>
            <m:sub>
              <m:r>
                <m:t>t</m:t>
              </m:r>
            </m:sub>
            <m:sup>
              <m:r>
                <m:rPr>
                  <m:nor/>
                  <m:sty m:val="p"/>
                </m:rPr>
                <m:t>ML</m:t>
              </m:r>
            </m:sup>
          </m:sSubSup>
          <m:r>
            <m:rPr>
              <m:sty m:val="p"/>
            </m:rPr>
            <m:t>,</m:t>
          </m:r>
          <m:r>
            <m:t>  </m:t>
          </m:r>
          <m:sSubSup>
            <m:e>
              <m:acc>
                <m:accPr>
                  <m:chr m:val="̂"/>
                </m:accPr>
                <m:e>
                  <m:r>
                    <m:t>Y</m:t>
                  </m:r>
                </m:e>
              </m:acc>
            </m:e>
            <m:sub>
              <m:r>
                <m:t>t</m:t>
              </m:r>
            </m:sub>
            <m:sup>
              <m:r>
                <m:rPr>
                  <m:nor/>
                  <m:sty m:val="p"/>
                </m:rPr>
                <m:t>var</m:t>
              </m:r>
            </m:sup>
          </m:sSubSup>
          <m:r>
            <m:rPr>
              <m:sty m:val="p"/>
            </m:rPr>
            <m:t>,</m:t>
          </m:r>
          <m:r>
            <m:t>  </m:t>
          </m:r>
          <m:r>
            <m:t>p</m:t>
          </m:r>
          <m:r>
            <m:t>​</m:t>
          </m:r>
          <m:d>
            <m:dPr>
              <m:begChr m:val="("/>
              <m:endChr m:val=")"/>
              <m:sepChr m:val=""/>
              <m:grow/>
            </m:dPr>
            <m:e>
              <m:sSub>
                <m:e>
                  <m:r>
                    <m:t>Y</m:t>
                  </m:r>
                </m:e>
                <m:sub>
                  <m:r>
                    <m:t>t</m:t>
                  </m:r>
                </m:sub>
              </m:sSub>
              <m:r>
                <m:rPr>
                  <m:sty m:val="p"/>
                </m:rPr>
                <m:t>∣</m:t>
              </m:r>
              <m:sSub>
                <m:e>
                  <m:r>
                    <m:t>D</m:t>
                  </m:r>
                </m:e>
                <m:sub>
                  <m:r>
                    <m:t>1</m:t>
                  </m:r>
                  <m:r>
                    <m:rPr>
                      <m:sty m:val="p"/>
                    </m:rPr>
                    <m:t>:</m:t>
                  </m:r>
                  <m:r>
                    <m:t>t</m:t>
                  </m:r>
                </m:sub>
              </m:sSub>
            </m:e>
          </m:d>
        </m:oMath>
      </m:oMathPara>
    </w:p>
    <w:p>
      <w:pPr>
        <w:pStyle w:val="FirstParagraph"/>
      </w:pPr>
      <w:r>
        <w:t xml:space="preserve">The third layer is populated only by the Bayesian simulator in Phase 5.</w:t>
      </w:r>
    </w:p>
    <w:p>
      <w:pPr>
        <w:pStyle w:val="BodyText"/>
      </w:pPr>
      <w:r>
        <w:t xml:space="preserve">Product conversion for product</w:t>
      </w:r>
      <w:r>
        <w:t xml:space="preserve"> </w:t>
      </w:r>
      <m:oMath>
        <m:r>
          <m:t>q</m:t>
        </m:r>
      </m:oMath>
      <w:r>
        <w:t xml:space="preserve"> </w:t>
      </w:r>
      <w:r>
        <w:t xml:space="preserve">is represented as:</w:t>
      </w:r>
    </w:p>
    <w:p>
      <w:pPr>
        <w:pStyle w:val="BodyText"/>
      </w:pPr>
      <m:oMathPara>
        <m:oMathParaPr>
          <m:jc m:val="center"/>
        </m:oMathParaPr>
        <m:oMath>
          <m:sSub>
            <m:e>
              <m:acc>
                <m:accPr>
                  <m:chr m:val="̂"/>
                </m:accPr>
                <m:e>
                  <m:r>
                    <m:t>Q</m:t>
                  </m:r>
                </m:e>
              </m:acc>
            </m:e>
            <m:sub>
              <m:r>
                <m:t>q</m:t>
              </m:r>
              <m:r>
                <m:rPr>
                  <m:sty m:val="p"/>
                </m:rPr>
                <m:t>,</m:t>
              </m:r>
              <m:r>
                <m:t>t</m:t>
              </m:r>
            </m:sub>
          </m:sSub>
          <m:r>
            <m:rPr>
              <m:sty m:val="p"/>
            </m:rPr>
            <m:t>=</m:t>
          </m:r>
          <m:sSubSup>
            <m:e>
              <m:acc>
                <m:accPr>
                  <m:chr m:val="̂"/>
                </m:accPr>
                <m:e>
                  <m:r>
                    <m:t>Y</m:t>
                  </m:r>
                </m:e>
              </m:acc>
            </m:e>
            <m:sub>
              <m:r>
                <m:t>t</m:t>
              </m:r>
            </m:sub>
            <m:sup>
              <m:r>
                <m:rPr>
                  <m:nor/>
                  <m:sty m:val="p"/>
                </m:rPr>
                <m:t>var</m:t>
              </m:r>
            </m:sup>
          </m:sSubSup>
          <m:r>
            <m:rPr>
              <m:sty m:val="p"/>
            </m:rPr>
            <m:t>⋅</m:t>
          </m:r>
          <m:sSub>
            <m:e>
              <m:r>
                <m:t>c</m:t>
              </m:r>
            </m:e>
            <m:sub>
              <m:r>
                <m:t>q</m:t>
              </m:r>
              <m:r>
                <m:rPr>
                  <m:sty m:val="p"/>
                </m:rPr>
                <m:t>,</m:t>
              </m:r>
              <m:r>
                <m:t>v</m:t>
              </m:r>
            </m:sub>
          </m:sSub>
        </m:oMath>
      </m:oMathPara>
    </w:p>
    <w:p>
      <w:pPr>
        <w:pStyle w:val="FirstParagraph"/>
      </w:pPr>
      <w:r>
        <w:t xml:space="preserve">where</w:t>
      </w:r>
      <w:r>
        <w:t xml:space="preserve"> </w:t>
      </w:r>
      <m:oMath>
        <m:sSub>
          <m:e>
            <m:r>
              <m:t>c</m:t>
            </m:r>
          </m:e>
          <m:sub>
            <m:r>
              <m:t>q</m:t>
            </m:r>
            <m:r>
              <m:rPr>
                <m:sty m:val="p"/>
              </m:rPr>
              <m:t>,</m:t>
            </m:r>
            <m:r>
              <m:t>v</m:t>
            </m:r>
          </m:sub>
        </m:sSub>
      </m:oMath>
      <w:r>
        <w:t xml:space="preserve"> </w:t>
      </w:r>
      <w:r>
        <w:t xml:space="preserve">is a variety-specific conversion parameter for nuts, copra, husk, shell, meat, or coconut water when supported by the PCA reference catalog.</w:t>
      </w:r>
    </w:p>
    <w:bookmarkEnd w:id="30"/>
    <w:bookmarkStart w:id="33" w:name="phase-5-bayesian-farm-state-simulator"/>
    <w:p>
      <w:pPr>
        <w:pStyle w:val="Heading1"/>
      </w:pPr>
      <w:r>
        <w:t xml:space="preserve">7. Phase 5: Bayesian Farm-State Simulator</w:t>
      </w:r>
    </w:p>
    <w:p>
      <w:pPr>
        <w:pStyle w:val="FirstParagraph"/>
      </w:pPr>
      <w:r>
        <w:t xml:space="preserve">Phase 5 implemented a sequential importance-resampling particle filter. The retained ML estimate is the production baseline, while uncertain biological and management effects are represented probabilistically.</w:t>
      </w:r>
    </w:p>
    <w:bookmarkStart w:id="31" w:name="farm-state-vector"/>
    <w:p>
      <w:pPr>
        <w:pStyle w:val="Heading2"/>
      </w:pPr>
      <w:r>
        <w:t xml:space="preserve">7.1 Farm-state vector</w:t>
      </w:r>
    </w:p>
    <w:p>
      <w:pPr>
        <w:pStyle w:val="FirstParagraph"/>
      </w:pPr>
      <w:r>
        <w:t xml:space="preserve">For farm cell</w:t>
      </w:r>
      <w:r>
        <w:t xml:space="preserve"> </w:t>
      </w:r>
      <m:oMath>
        <m:r>
          <m:t>g</m:t>
        </m:r>
      </m:oMath>
      <w:r>
        <w:t xml:space="preserve"> </w:t>
      </w:r>
      <w:r>
        <w:t xml:space="preserve">and month</w:t>
      </w:r>
      <w:r>
        <w:t xml:space="preserve"> </w:t>
      </w:r>
      <m:oMath>
        <m:r>
          <m:t>t</m:t>
        </m:r>
      </m:oMath>
      <w:r>
        <w:t xml:space="preserve">:</w:t>
      </w:r>
    </w:p>
    <w:p>
      <w:pPr>
        <w:pStyle w:val="BodyText"/>
      </w:pPr>
      <m:oMathPara>
        <m:oMathParaPr>
          <m:jc m:val="center"/>
        </m:oMathParaPr>
        <m:oMath>
          <m:sSub>
            <m:e>
              <m:r>
                <m:rPr>
                  <m:sty m:val="b"/>
                </m:rPr>
                <m:t>S</m:t>
              </m:r>
            </m:e>
            <m:sub>
              <m:r>
                <m:t>g</m:t>
              </m:r>
              <m:r>
                <m:rPr>
                  <m:sty m:val="p"/>
                </m:rPr>
                <m:t>,</m:t>
              </m:r>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Sup>
                          <m:e>
                            <m:r>
                              <m:t>N</m:t>
                            </m:r>
                          </m:e>
                          <m:sub>
                            <m:r>
                              <m:t>g</m:t>
                            </m:r>
                            <m:r>
                              <m:rPr>
                                <m:sty m:val="p"/>
                              </m:rPr>
                              <m:t>,</m:t>
                            </m:r>
                            <m:r>
                              <m:t>t</m:t>
                            </m:r>
                          </m:sub>
                          <m:sup>
                            <m:r>
                              <m:t>Y</m:t>
                            </m:r>
                          </m:sup>
                        </m:sSubSup>
                      </m:e>
                      <m:e>
                        <m:sSubSup>
                          <m:e>
                            <m:r>
                              <m:t>N</m:t>
                            </m:r>
                          </m:e>
                          <m:sub>
                            <m:r>
                              <m:t>g</m:t>
                            </m:r>
                            <m:r>
                              <m:rPr>
                                <m:sty m:val="p"/>
                              </m:rPr>
                              <m:t>,</m:t>
                            </m:r>
                            <m:r>
                              <m:t>t</m:t>
                            </m:r>
                          </m:sub>
                          <m:sup>
                            <m:r>
                              <m:t>B</m:t>
                            </m:r>
                          </m:sup>
                        </m:sSubSup>
                      </m:e>
                      <m:e>
                        <m:sSubSup>
                          <m:e>
                            <m:r>
                              <m:t>N</m:t>
                            </m:r>
                          </m:e>
                          <m:sub>
                            <m:r>
                              <m:t>g</m:t>
                            </m:r>
                            <m:r>
                              <m:rPr>
                                <m:sty m:val="p"/>
                              </m:rPr>
                              <m:t>,</m:t>
                            </m:r>
                            <m:r>
                              <m:t>t</m:t>
                            </m:r>
                          </m:sub>
                          <m:sup>
                            <m:r>
                              <m:t>A</m:t>
                            </m:r>
                          </m:sup>
                        </m:sSubSup>
                      </m:e>
                      <m:e>
                        <m:sSubSup>
                          <m:e>
                            <m:r>
                              <m:t>N</m:t>
                            </m:r>
                          </m:e>
                          <m:sub>
                            <m:r>
                              <m:t>g</m:t>
                            </m:r>
                            <m:r>
                              <m:rPr>
                                <m:sty m:val="p"/>
                              </m:rPr>
                              <m:t>,</m:t>
                            </m:r>
                            <m:r>
                              <m:t>t</m:t>
                            </m:r>
                          </m:sub>
                          <m:sup>
                            <m:r>
                              <m:t>S</m:t>
                            </m:r>
                          </m:sup>
                        </m:sSubSup>
                      </m:e>
                      <m:e>
                        <m:sSubSup>
                          <m:e>
                            <m:r>
                              <m:t>N</m:t>
                            </m:r>
                          </m:e>
                          <m:sub>
                            <m:r>
                              <m:t>g</m:t>
                            </m:r>
                            <m:r>
                              <m:rPr>
                                <m:sty m:val="p"/>
                              </m:rPr>
                              <m:t>,</m:t>
                            </m:r>
                            <m:r>
                              <m:t>t</m:t>
                            </m:r>
                          </m:sub>
                          <m:sup>
                            <m:r>
                              <m:t>I</m:t>
                            </m:r>
                          </m:sup>
                        </m:sSubSup>
                      </m:e>
                      <m:e>
                        <m:sSubSup>
                          <m:e>
                            <m:r>
                              <m:t>N</m:t>
                            </m:r>
                          </m:e>
                          <m:sub>
                            <m:r>
                              <m:t>g</m:t>
                            </m:r>
                            <m:r>
                              <m:rPr>
                                <m:sty m:val="p"/>
                              </m:rPr>
                              <m:t>,</m:t>
                            </m:r>
                            <m:r>
                              <m:t>t</m:t>
                            </m:r>
                          </m:sub>
                          <m:sup>
                            <m:r>
                              <m:t>R</m:t>
                            </m:r>
                          </m:sup>
                        </m:sSubSup>
                      </m:e>
                      <m:e>
                        <m:sSubSup>
                          <m:e>
                            <m:r>
                              <m:t>N</m:t>
                            </m:r>
                          </m:e>
                          <m:sub>
                            <m:r>
                              <m:t>g</m:t>
                            </m:r>
                            <m:r>
                              <m:rPr>
                                <m:sty m:val="p"/>
                              </m:rPr>
                              <m:t>,</m:t>
                            </m:r>
                            <m:r>
                              <m:t>t</m:t>
                            </m:r>
                          </m:sub>
                          <m:sup>
                            <m:r>
                              <m:t>D</m:t>
                            </m:r>
                          </m:sup>
                        </m:sSubSup>
                      </m:e>
                      <m:e>
                        <m:sSub>
                          <m:e>
                            <m:r>
                              <m:t>F</m:t>
                            </m:r>
                          </m:e>
                          <m:sub>
                            <m:r>
                              <m:t>g</m:t>
                            </m:r>
                            <m:r>
                              <m:rPr>
                                <m:sty m:val="p"/>
                              </m:rPr>
                              <m:t>,</m:t>
                            </m:r>
                            <m:r>
                              <m:t>t</m:t>
                            </m:r>
                          </m:sub>
                        </m:sSub>
                      </m:e>
                      <m:e>
                        <m:sSub>
                          <m:e>
                            <m:r>
                              <m:t>M</m:t>
                            </m:r>
                          </m:e>
                          <m:sub>
                            <m:r>
                              <m:t>g</m:t>
                            </m:r>
                            <m:r>
                              <m:rPr>
                                <m:sty m:val="p"/>
                              </m:rPr>
                              <m:t>,</m:t>
                            </m:r>
                            <m:r>
                              <m:t>t</m:t>
                            </m:r>
                          </m:sub>
                        </m:sSub>
                      </m:e>
                    </m:mr>
                  </m:m>
                </m:e>
              </m:d>
            </m:e>
            <m:sup>
              <m:r>
                <m:rPr>
                  <m:sty m:val="p"/>
                  <m:scr m:val="sans-serif"/>
                </m:rPr>
                <m:t>T</m:t>
              </m:r>
            </m:sup>
          </m:sSup>
        </m:oMath>
      </m:oMathPara>
    </w:p>
    <w:p>
      <w:pPr>
        <w:pStyle w:val="FirstParagraph"/>
      </w:pPr>
      <w:r>
        <w:t xml:space="preserve">The seven palm counts correspond to young, healthy bearing, aging, stressed, infested or diseased, rehabilitating, and dead palms.</w:t>
      </w:r>
      <w:r>
        <w:t xml:space="preserve"> </w:t>
      </w:r>
      <m:oMath>
        <m:r>
          <m:t>F</m:t>
        </m:r>
      </m:oMath>
      <w:r>
        <w:t xml:space="preserve"> </w:t>
      </w:r>
      <w:r>
        <w:t xml:space="preserve">and</w:t>
      </w:r>
      <w:r>
        <w:t xml:space="preserve"> </w:t>
      </w:r>
      <m:oMath>
        <m:r>
          <m:t>M</m:t>
        </m:r>
      </m:oMath>
      <w:r>
        <w:t xml:space="preserve"> </w:t>
      </w:r>
      <w:r>
        <w:t xml:space="preserve">are soil-fertility and soil-water indices.</w:t>
      </w:r>
    </w:p>
    <w:p>
      <w:pPr>
        <w:pStyle w:val="BodyText"/>
      </w:pPr>
      <w:r>
        <w:t xml:space="preserve">Palm-position conservation is enforced as:</w:t>
      </w:r>
    </w:p>
    <w:p>
      <w:pPr>
        <w:pStyle w:val="BodyText"/>
      </w:pPr>
      <m:oMathPara>
        <m:oMathParaPr>
          <m:jc m:val="center"/>
        </m:oMathParaPr>
        <m:oMath>
          <m:sSub>
            <m:e>
              <m:r>
                <m:t>N</m:t>
              </m:r>
            </m:e>
            <m:sub>
              <m:r>
                <m:rPr>
                  <m:nor/>
                  <m:sty m:val="p"/>
                </m:rPr>
                <m:t>total</m:t>
              </m:r>
              <m:r>
                <m:rPr>
                  <m:sty m:val="p"/>
                </m:rPr>
                <m:t>,</m:t>
              </m:r>
              <m:r>
                <m:t>t</m:t>
              </m:r>
            </m:sub>
          </m:sSub>
          <m:r>
            <m:rPr>
              <m:sty m:val="p"/>
            </m:rPr>
            <m:t>=</m:t>
          </m:r>
          <m:sSubSup>
            <m:e>
              <m:r>
                <m:t>N</m:t>
              </m:r>
            </m:e>
            <m:sub>
              <m:r>
                <m:t>t</m:t>
              </m:r>
            </m:sub>
            <m:sup>
              <m:r>
                <m:t>Y</m:t>
              </m:r>
            </m:sup>
          </m:sSubSup>
          <m:r>
            <m:rPr>
              <m:sty m:val="p"/>
            </m:rPr>
            <m:t>+</m:t>
          </m:r>
          <m:sSubSup>
            <m:e>
              <m:r>
                <m:t>N</m:t>
              </m:r>
            </m:e>
            <m:sub>
              <m:r>
                <m:t>t</m:t>
              </m:r>
            </m:sub>
            <m:sup>
              <m:r>
                <m:t>B</m:t>
              </m:r>
            </m:sup>
          </m:sSubSup>
          <m:r>
            <m:rPr>
              <m:sty m:val="p"/>
            </m:rPr>
            <m:t>+</m:t>
          </m:r>
          <m:sSubSup>
            <m:e>
              <m:r>
                <m:t>N</m:t>
              </m:r>
            </m:e>
            <m:sub>
              <m:r>
                <m:t>t</m:t>
              </m:r>
            </m:sub>
            <m:sup>
              <m:r>
                <m:t>A</m:t>
              </m:r>
            </m:sup>
          </m:sSubSup>
          <m:r>
            <m:rPr>
              <m:sty m:val="p"/>
            </m:rPr>
            <m:t>+</m:t>
          </m:r>
          <m:sSubSup>
            <m:e>
              <m:r>
                <m:t>N</m:t>
              </m:r>
            </m:e>
            <m:sub>
              <m:r>
                <m:t>t</m:t>
              </m:r>
            </m:sub>
            <m:sup>
              <m:r>
                <m:t>S</m:t>
              </m:r>
            </m:sup>
          </m:sSubSup>
          <m:r>
            <m:rPr>
              <m:sty m:val="p"/>
            </m:rPr>
            <m:t>+</m:t>
          </m:r>
          <m:sSubSup>
            <m:e>
              <m:r>
                <m:t>N</m:t>
              </m:r>
            </m:e>
            <m:sub>
              <m:r>
                <m:t>t</m:t>
              </m:r>
            </m:sub>
            <m:sup>
              <m:r>
                <m:t>I</m:t>
              </m:r>
            </m:sup>
          </m:sSubSup>
          <m:r>
            <m:rPr>
              <m:sty m:val="p"/>
            </m:rPr>
            <m:t>+</m:t>
          </m:r>
          <m:sSubSup>
            <m:e>
              <m:r>
                <m:t>N</m:t>
              </m:r>
            </m:e>
            <m:sub>
              <m:r>
                <m:t>t</m:t>
              </m:r>
            </m:sub>
            <m:sup>
              <m:r>
                <m:t>R</m:t>
              </m:r>
            </m:sup>
          </m:sSubSup>
          <m:r>
            <m:rPr>
              <m:sty m:val="p"/>
            </m:rPr>
            <m:t>+</m:t>
          </m:r>
          <m:sSubSup>
            <m:e>
              <m:r>
                <m:t>N</m:t>
              </m:r>
            </m:e>
            <m:sub>
              <m:r>
                <m:t>t</m:t>
              </m:r>
            </m:sub>
            <m:sup>
              <m:r>
                <m:t>D</m:t>
              </m:r>
            </m:sup>
          </m:sSubSup>
          <m:r>
            <m:rPr>
              <m:sty m:val="p"/>
            </m:rPr>
            <m:t>=</m:t>
          </m:r>
          <m:r>
            <m:rPr>
              <m:nor/>
              <m:sty m:val="p"/>
            </m:rPr>
            <m:t>constant</m:t>
          </m:r>
        </m:oMath>
      </m:oMathPara>
    </w:p>
    <w:p>
      <w:pPr>
        <w:pStyle w:val="FirstParagraph"/>
      </w:pPr>
      <w:r>
        <w:t xml:space="preserve">except when an explicitly documented planting or removal operation changes the farm inventory.</w:t>
      </w:r>
    </w:p>
    <w:bookmarkEnd w:id="31"/>
    <w:bookmarkStart w:id="32" w:name="bayesian-update"/>
    <w:p>
      <w:pPr>
        <w:pStyle w:val="Heading2"/>
      </w:pPr>
      <w:r>
        <w:t xml:space="preserve">7.2 Bayesian update</w:t>
      </w:r>
    </w:p>
    <w:p>
      <w:pPr>
        <w:pStyle w:val="FirstParagraph"/>
      </w:pPr>
      <w:r>
        <w:t xml:space="preserve">For uncertain parameters</w:t>
      </w:r>
      <w:r>
        <w:t xml:space="preserve"> </w:t>
      </w:r>
      <m:oMath>
        <m:r>
          <m:rPr>
            <m:sty m:val="b"/>
          </m:rPr>
          <m:t>θ</m:t>
        </m:r>
      </m:oMath>
      <w:r>
        <w:t xml:space="preserve"> </w:t>
      </w:r>
      <w:r>
        <w:t xml:space="preserve">and observations</w:t>
      </w:r>
      <w:r>
        <w:t xml:space="preserve"> </w:t>
      </w:r>
      <m:oMath>
        <m:sSub>
          <m:e>
            <m:r>
              <m:t>D</m:t>
            </m:r>
          </m:e>
          <m:sub>
            <m:r>
              <m:t>1</m:t>
            </m:r>
            <m:r>
              <m:rPr>
                <m:sty m:val="p"/>
              </m:rPr>
              <m:t>:</m:t>
            </m:r>
            <m:r>
              <m:t>t</m:t>
            </m:r>
          </m:sub>
        </m:sSub>
      </m:oMath>
      <w:r>
        <w:t xml:space="preserve">:</w:t>
      </w:r>
    </w:p>
    <w:p>
      <w:pPr>
        <w:pStyle w:val="BodyText"/>
      </w:pPr>
      <m:oMathPara>
        <m:oMathParaPr>
          <m:jc m:val="center"/>
        </m:oMathParaPr>
        <m:oMath>
          <m:r>
            <m:t>p</m:t>
          </m:r>
          <m:r>
            <m:t>​</m:t>
          </m:r>
          <m:d>
            <m:dPr>
              <m:begChr m:val="("/>
              <m:endChr m:val=")"/>
              <m:sepChr m:val=""/>
              <m:grow/>
            </m:dPr>
            <m:e>
              <m:r>
                <m:rPr>
                  <m:sty m:val="b"/>
                </m:rPr>
                <m:t>θ</m:t>
              </m:r>
              <m:r>
                <m:rPr>
                  <m:sty m:val="p"/>
                </m:rPr>
                <m:t>∣</m:t>
              </m:r>
              <m:sSub>
                <m:e>
                  <m:r>
                    <m:t>D</m:t>
                  </m:r>
                </m:e>
                <m:sub>
                  <m:r>
                    <m:t>1</m:t>
                  </m:r>
                  <m:r>
                    <m:rPr>
                      <m:sty m:val="p"/>
                    </m:rPr>
                    <m:t>:</m:t>
                  </m:r>
                  <m:r>
                    <m:t>t</m:t>
                  </m:r>
                </m:sub>
              </m:sSub>
            </m:e>
          </m:d>
          <m:r>
            <m:rPr>
              <m:sty m:val="p"/>
            </m:rPr>
            <m:t>∝</m:t>
          </m:r>
          <m:r>
            <m:t>p</m:t>
          </m:r>
          <m:r>
            <m:t>​</m:t>
          </m:r>
          <m:d>
            <m:dPr>
              <m:begChr m:val="("/>
              <m:endChr m:val=")"/>
              <m:sepChr m:val=""/>
              <m:grow/>
            </m:dPr>
            <m:e>
              <m:sSub>
                <m:e>
                  <m:r>
                    <m:t>D</m:t>
                  </m:r>
                </m:e>
                <m:sub>
                  <m:r>
                    <m:t>t</m:t>
                  </m:r>
                </m:sub>
              </m:sSub>
              <m:r>
                <m:rPr>
                  <m:sty m:val="p"/>
                </m:rPr>
                <m:t>∣</m:t>
              </m:r>
              <m:r>
                <m:rPr>
                  <m:sty m:val="b"/>
                </m:rPr>
                <m:t>θ</m:t>
              </m:r>
            </m:e>
          </m:d>
          <m:r>
            <m:t> </m:t>
          </m:r>
          <m:r>
            <m:t>p</m:t>
          </m:r>
          <m:r>
            <m:t>​</m:t>
          </m:r>
          <m:d>
            <m:dPr>
              <m:begChr m:val="("/>
              <m:endChr m:val=")"/>
              <m:sepChr m:val=""/>
              <m:grow/>
            </m:dPr>
            <m:e>
              <m:r>
                <m:rPr>
                  <m:sty m:val="b"/>
                </m:rPr>
                <m:t>θ</m:t>
              </m:r>
              <m:r>
                <m:rPr>
                  <m:sty m:val="p"/>
                </m:rPr>
                <m:t>∣</m:t>
              </m:r>
              <m:sSub>
                <m:e>
                  <m:r>
                    <m:t>D</m:t>
                  </m:r>
                </m:e>
                <m:sub>
                  <m:r>
                    <m:t>1</m:t>
                  </m:r>
                  <m:r>
                    <m:rPr>
                      <m:sty m:val="p"/>
                    </m:rPr>
                    <m:t>:</m:t>
                  </m:r>
                  <m:r>
                    <m:t>t</m:t>
                  </m:r>
                  <m:r>
                    <m:rPr>
                      <m:sty m:val="p"/>
                    </m:rPr>
                    <m:t>−</m:t>
                  </m:r>
                  <m:r>
                    <m:t>1</m:t>
                  </m:r>
                </m:sub>
              </m:sSub>
            </m:e>
          </m:d>
        </m:oMath>
      </m:oMathPara>
    </w:p>
    <w:p>
      <w:pPr>
        <w:pStyle w:val="FirstParagraph"/>
      </w:pPr>
      <w:r>
        <w:t xml:space="preserve">Each particle</w:t>
      </w:r>
      <w:r>
        <w:t xml:space="preserve"> </w:t>
      </w:r>
      <m:oMath>
        <m:r>
          <m:t>i</m:t>
        </m:r>
      </m:oMath>
      <w:r>
        <w:t xml:space="preserve"> </w:t>
      </w:r>
      <w:r>
        <w:t xml:space="preserve">receives an updated weight:</w:t>
      </w:r>
    </w:p>
    <w:p>
      <w:pPr>
        <w:pStyle w:val="BodyText"/>
      </w:pPr>
      <m:oMathPara>
        <m:oMathParaPr>
          <m:jc m:val="center"/>
        </m:oMathParaPr>
        <m:oMath>
          <m:sSubSup>
            <m:e>
              <m:acc>
                <m:accPr>
                  <m:chr m:val="̃"/>
                </m:accPr>
                <m:e>
                  <m:r>
                    <m:t>w</m:t>
                  </m:r>
                </m:e>
              </m:acc>
            </m:e>
            <m:sub>
              <m:r>
                <m:t>t</m:t>
              </m:r>
            </m:sub>
            <m:sup>
              <m:d>
                <m:dPr>
                  <m:begChr m:val="("/>
                  <m:endChr m:val=")"/>
                  <m:sepChr m:val=""/>
                  <m:grow/>
                </m:dPr>
                <m:e>
                  <m:r>
                    <m:t>i</m:t>
                  </m:r>
                </m:e>
              </m:d>
            </m:sup>
          </m:sSubSup>
          <m:r>
            <m:rPr>
              <m:sty m:val="p"/>
            </m:rPr>
            <m:t>=</m:t>
          </m:r>
          <m:sSubSup>
            <m:e>
              <m:r>
                <m:t>w</m:t>
              </m:r>
            </m:e>
            <m:sub>
              <m:r>
                <m:t>t</m:t>
              </m:r>
              <m:r>
                <m:rPr>
                  <m:sty m:val="p"/>
                </m:rPr>
                <m:t>−</m:t>
              </m:r>
              <m:r>
                <m:t>1</m:t>
              </m:r>
            </m:sub>
            <m:sup>
              <m:d>
                <m:dPr>
                  <m:begChr m:val="("/>
                  <m:endChr m:val=")"/>
                  <m:sepChr m:val=""/>
                  <m:grow/>
                </m:dPr>
                <m:e>
                  <m:r>
                    <m:t>i</m:t>
                  </m:r>
                </m:e>
              </m:d>
            </m:sup>
          </m:sSubSup>
          <m:r>
            <m:t> </m:t>
          </m:r>
          <m:r>
            <m:t>p</m:t>
          </m:r>
          <m:r>
            <m:t>​</m:t>
          </m:r>
          <m:sSup>
            <m:e>
              <m:d>
                <m:dPr>
                  <m:begChr m:val="("/>
                  <m:endChr m:val=")"/>
                  <m:sepChr m:val=""/>
                  <m:grow/>
                </m:dPr>
                <m:e>
                  <m:sSub>
                    <m:e>
                      <m:r>
                        <m:t>D</m:t>
                      </m:r>
                    </m:e>
                    <m:sub>
                      <m:r>
                        <m:t>t</m:t>
                      </m:r>
                    </m:sub>
                  </m:sSub>
                  <m:r>
                    <m:rPr>
                      <m:sty m:val="p"/>
                    </m:rPr>
                    <m:t>∣</m:t>
                  </m:r>
                  <m:sSubSup>
                    <m:e>
                      <m:r>
                        <m:rPr>
                          <m:sty m:val="b"/>
                        </m:rPr>
                        <m:t>S</m:t>
                      </m:r>
                    </m:e>
                    <m:sub>
                      <m:r>
                        <m:t>t</m:t>
                      </m:r>
                    </m:sub>
                    <m:sup>
                      <m:d>
                        <m:dPr>
                          <m:begChr m:val="("/>
                          <m:endChr m:val=")"/>
                          <m:sepChr m:val=""/>
                          <m:grow/>
                        </m:dPr>
                        <m:e>
                          <m:r>
                            <m:t>i</m:t>
                          </m:r>
                        </m:e>
                      </m:d>
                    </m:sup>
                  </m:sSubSup>
                  <m:r>
                    <m:rPr>
                      <m:sty m:val="p"/>
                    </m:rPr>
                    <m:t>,</m:t>
                  </m:r>
                  <m:sSup>
                    <m:e>
                      <m:r>
                        <m:rPr>
                          <m:sty m:val="b"/>
                        </m:rPr>
                        <m:t>θ</m:t>
                      </m:r>
                    </m:e>
                    <m:sup>
                      <m:d>
                        <m:dPr>
                          <m:begChr m:val="("/>
                          <m:endChr m:val=")"/>
                          <m:sepChr m:val=""/>
                          <m:grow/>
                        </m:dPr>
                        <m:e>
                          <m:r>
                            <m:t>i</m:t>
                          </m:r>
                        </m:e>
                      </m:d>
                    </m:sup>
                  </m:sSup>
                </m:e>
              </m:d>
            </m:e>
            <m:sup>
              <m:sSub>
                <m:e>
                  <m:r>
                    <m:t>ρ</m:t>
                  </m:r>
                </m:e>
                <m:sub>
                  <m:r>
                    <m:t>e</m:t>
                  </m:r>
                </m:sub>
              </m:sSub>
            </m:sup>
          </m:sSup>
        </m:oMath>
      </m:oMathPara>
    </w:p>
    <w:p>
      <w:pPr>
        <w:pStyle w:val="FirstParagraph"/>
      </w:pPr>
      <w:r>
        <w:t xml:space="preserve">where</w:t>
      </w:r>
      <w:r>
        <w:t xml:space="preserve"> </w:t>
      </w:r>
      <m:oMath>
        <m:sSub>
          <m:e>
            <m:r>
              <m:t>ρ</m:t>
            </m:r>
          </m:e>
          <m:sub>
            <m:r>
              <m:t>e</m:t>
            </m:r>
          </m:sub>
        </m:sSub>
      </m:oMath>
      <w:r>
        <w:t xml:space="preserve"> </w:t>
      </w:r>
      <w:r>
        <w:t xml:space="preserve">is the reliability assigned to the evidence status. Predicted and suspected evidence use:</w:t>
      </w:r>
    </w:p>
    <w:p>
      <w:pPr>
        <w:pStyle w:val="BodyText"/>
      </w:pPr>
      <m:oMathPara>
        <m:oMathParaPr>
          <m:jc m:val="center"/>
        </m:oMathParaPr>
        <m:oMath>
          <m:sSub>
            <m:e>
              <m:r>
                <m:t>ρ</m:t>
              </m:r>
            </m:e>
            <m:sub>
              <m:r>
                <m:t>e</m:t>
              </m:r>
            </m:sub>
          </m:sSub>
          <m:r>
            <m:rPr>
              <m:sty m:val="p"/>
            </m:rPr>
            <m:t>=</m:t>
          </m:r>
          <m:r>
            <m:t>0</m:t>
          </m:r>
        </m:oMath>
      </m:oMathPara>
    </w:p>
    <w:p>
      <w:pPr>
        <w:pStyle w:val="FirstParagraph"/>
      </w:pPr>
      <w:r>
        <w:t xml:space="preserve">so they are preserved in the audit but cannot update posterior beliefs.</w:t>
      </w:r>
    </w:p>
    <w:p>
      <w:pPr>
        <w:pStyle w:val="BodyText"/>
      </w:pPr>
      <w:r>
        <w:t xml:space="preserve">Normalized weights are:</w:t>
      </w:r>
    </w:p>
    <w:p>
      <w:pPr>
        <w:pStyle w:val="BodyText"/>
      </w:pPr>
      <m:oMathPara>
        <m:oMathParaPr>
          <m:jc m:val="center"/>
        </m:oMathParaPr>
        <m:oMath>
          <m:sSubSup>
            <m:e>
              <m:r>
                <m:t>w</m:t>
              </m:r>
            </m:e>
            <m:sub>
              <m:r>
                <m:t>t</m:t>
              </m:r>
            </m:sub>
            <m:sup>
              <m:d>
                <m:dPr>
                  <m:begChr m:val="("/>
                  <m:endChr m:val=")"/>
                  <m:sepChr m:val=""/>
                  <m:grow/>
                </m:dPr>
                <m:e>
                  <m:r>
                    <m:t>i</m:t>
                  </m:r>
                </m:e>
              </m:d>
            </m:sup>
          </m:sSubSup>
          <m:r>
            <m:rPr>
              <m:sty m:val="p"/>
            </m:rPr>
            <m:t>=</m:t>
          </m:r>
          <m:f>
            <m:fPr>
              <m:type m:val="bar"/>
            </m:fPr>
            <m:num>
              <m:sSubSup>
                <m:e>
                  <m:acc>
                    <m:accPr>
                      <m:chr m:val="̃"/>
                    </m:accPr>
                    <m:e>
                      <m:r>
                        <m:t>w</m:t>
                      </m:r>
                    </m:e>
                  </m:acc>
                </m:e>
                <m:sub>
                  <m:r>
                    <m:t>t</m:t>
                  </m:r>
                </m:sub>
                <m:sup>
                  <m:d>
                    <m:dPr>
                      <m:begChr m:val="("/>
                      <m:endChr m:val=")"/>
                      <m:sepChr m:val=""/>
                      <m:grow/>
                    </m:dPr>
                    <m:e>
                      <m:r>
                        <m:t>i</m:t>
                      </m:r>
                    </m:e>
                  </m:d>
                </m:sup>
              </m:sSubSup>
            </m:num>
            <m:den>
              <m:nary>
                <m:naryPr>
                  <m:chr m:val="∑"/>
                  <m:limLoc m:val="undOvr"/>
                  <m:subHide m:val="off"/>
                  <m:supHide m:val="off"/>
                </m:naryPr>
                <m:sub>
                  <m:r>
                    <m:t>j</m:t>
                  </m:r>
                  <m:r>
                    <m:rPr>
                      <m:sty m:val="p"/>
                    </m:rPr>
                    <m:t>=</m:t>
                  </m:r>
                  <m:r>
                    <m:t>1</m:t>
                  </m:r>
                </m:sub>
                <m:sup>
                  <m:sSub>
                    <m:e>
                      <m:r>
                        <m:t>N</m:t>
                      </m:r>
                    </m:e>
                    <m:sub>
                      <m:r>
                        <m:t>p</m:t>
                      </m:r>
                    </m:sub>
                  </m:sSub>
                </m:sup>
                <m:e>
                  <m:sSubSup>
                    <m:e>
                      <m:acc>
                        <m:accPr>
                          <m:chr m:val="̃"/>
                        </m:accPr>
                        <m:e>
                          <m:r>
                            <m:t>w</m:t>
                          </m:r>
                        </m:e>
                      </m:acc>
                    </m:e>
                    <m:sub>
                      <m:r>
                        <m:t>t</m:t>
                      </m:r>
                    </m:sub>
                    <m:sup>
                      <m:d>
                        <m:dPr>
                          <m:begChr m:val="("/>
                          <m:endChr m:val=")"/>
                          <m:sepChr m:val=""/>
                          <m:grow/>
                        </m:dPr>
                        <m:e>
                          <m:r>
                            <m:t>j</m:t>
                          </m:r>
                        </m:e>
                      </m:d>
                    </m:sup>
                  </m:sSubSup>
                </m:e>
              </m:nary>
            </m:den>
          </m:f>
        </m:oMath>
      </m:oMathPara>
    </w:p>
    <w:p>
      <w:pPr>
        <w:pStyle w:val="FirstParagraph"/>
      </w:pPr>
      <w:r>
        <w:t xml:space="preserve">The effective sample size is:</w:t>
      </w:r>
    </w:p>
    <w:p>
      <w:pPr>
        <w:pStyle w:val="BodyText"/>
      </w:pPr>
      <m:oMathPara>
        <m:oMathParaPr>
          <m:jc m:val="center"/>
        </m:oMathParaPr>
        <m:oMath>
          <m:sSub>
            <m:e>
              <m:r>
                <m:t>N</m:t>
              </m:r>
            </m:e>
            <m:sub>
              <m:r>
                <m:rPr>
                  <m:nor/>
                  <m:sty m:val="p"/>
                </m:rPr>
                <m:t>eff</m:t>
              </m:r>
            </m:sub>
          </m:sSub>
          <m:r>
            <m:rPr>
              <m:sty m:val="p"/>
            </m:rPr>
            <m:t>=</m:t>
          </m:r>
          <m:f>
            <m:fPr>
              <m:type m:val="bar"/>
            </m:fPr>
            <m:num>
              <m:r>
                <m:t>1</m:t>
              </m:r>
            </m:num>
            <m:den>
              <m:nary>
                <m:naryPr>
                  <m:chr m:val="∑"/>
                  <m:limLoc m:val="undOvr"/>
                  <m:subHide m:val="off"/>
                  <m:supHide m:val="off"/>
                </m:naryPr>
                <m:sub>
                  <m:r>
                    <m:t>i</m:t>
                  </m:r>
                  <m:r>
                    <m:rPr>
                      <m:sty m:val="p"/>
                    </m:rPr>
                    <m:t>=</m:t>
                  </m:r>
                  <m:r>
                    <m:t>1</m:t>
                  </m:r>
                </m:sub>
                <m:sup>
                  <m:sSub>
                    <m:e>
                      <m:r>
                        <m:t>N</m:t>
                      </m:r>
                    </m:e>
                    <m:sub>
                      <m:r>
                        <m:t>p</m:t>
                      </m:r>
                    </m:sub>
                  </m:sSub>
                </m:sup>
                <m:e>
                  <m:sSup>
                    <m:e>
                      <m:d>
                        <m:dPr>
                          <m:begChr m:val="("/>
                          <m:endChr m:val=")"/>
                          <m:sepChr m:val=""/>
                          <m:grow/>
                        </m:dPr>
                        <m:e>
                          <m:sSubSup>
                            <m:e>
                              <m:r>
                                <m:t>w</m:t>
                              </m:r>
                            </m:e>
                            <m:sub>
                              <m:r>
                                <m:t>t</m:t>
                              </m:r>
                            </m:sub>
                            <m:sup>
                              <m:d>
                                <m:dPr>
                                  <m:begChr m:val="("/>
                                  <m:endChr m:val=")"/>
                                  <m:sepChr m:val=""/>
                                  <m:grow/>
                                </m:dPr>
                                <m:e>
                                  <m:r>
                                    <m:t>i</m:t>
                                  </m:r>
                                </m:e>
                              </m:d>
                            </m:sup>
                          </m:sSubSup>
                        </m:e>
                      </m:d>
                    </m:e>
                    <m:sup>
                      <m:r>
                        <m:t>2</m:t>
                      </m:r>
                    </m:sup>
                  </m:sSup>
                </m:e>
              </m:nary>
            </m:den>
          </m:f>
        </m:oMath>
      </m:oMathPara>
    </w:p>
    <w:p>
      <w:pPr>
        <w:pStyle w:val="FirstParagraph"/>
      </w:pPr>
      <w:r>
        <w:t xml:space="preserve">Systematic resampling is triggered when particle degeneracy falls below the configured threshold.</w:t>
      </w:r>
    </w:p>
    <w:p>
      <w:pPr>
        <w:pStyle w:val="BodyText"/>
      </w:pPr>
      <w:r>
        <w:t xml:space="preserve">The posterior predictive distribution is:</w:t>
      </w:r>
    </w:p>
    <w:p>
      <w:pPr>
        <w:pStyle w:val="BodyText"/>
      </w:pPr>
      <m:oMathPara>
        <m:oMathParaPr>
          <m:jc m:val="center"/>
        </m:oMathParaPr>
        <m:oMath>
          <m:r>
            <m:t>p</m:t>
          </m:r>
          <m:r>
            <m:t>​</m:t>
          </m:r>
          <m:d>
            <m:dPr>
              <m:begChr m:val="("/>
              <m:endChr m:val=")"/>
              <m:sepChr m:val=""/>
              <m:grow/>
            </m:dPr>
            <m:e>
              <m:sSub>
                <m:e>
                  <m:r>
                    <m:t>Y</m:t>
                  </m:r>
                </m:e>
                <m:sub>
                  <m:r>
                    <m:t>t</m:t>
                  </m:r>
                  <m:r>
                    <m:rPr>
                      <m:sty m:val="p"/>
                    </m:rPr>
                    <m:t>+</m:t>
                  </m:r>
                  <m:r>
                    <m:t>1</m:t>
                  </m:r>
                </m:sub>
              </m:sSub>
              <m:r>
                <m:rPr>
                  <m:sty m:val="p"/>
                </m:rPr>
                <m:t>∣</m:t>
              </m:r>
              <m:sSub>
                <m:e>
                  <m:r>
                    <m:t>D</m:t>
                  </m:r>
                </m:e>
                <m:sub>
                  <m:r>
                    <m:t>1</m:t>
                  </m:r>
                  <m:r>
                    <m:rPr>
                      <m:sty m:val="p"/>
                    </m:rPr>
                    <m:t>:</m:t>
                  </m:r>
                  <m:r>
                    <m:t>t</m:t>
                  </m:r>
                </m:sub>
              </m:sSub>
            </m:e>
          </m:d>
          <m:r>
            <m:rPr>
              <m:sty m:val="p"/>
            </m:rPr>
            <m:t>=</m:t>
          </m:r>
          <m:r>
            <m:rPr>
              <m:sty m:val="p"/>
            </m:rPr>
            <m:t>∫</m:t>
          </m:r>
          <m:r>
            <m:t>p</m:t>
          </m:r>
          <m:r>
            <m:t>​</m:t>
          </m:r>
          <m:d>
            <m:dPr>
              <m:begChr m:val="("/>
              <m:endChr m:val=")"/>
              <m:sepChr m:val=""/>
              <m:grow/>
            </m:dPr>
            <m:e>
              <m:sSub>
                <m:e>
                  <m:r>
                    <m:t>Y</m:t>
                  </m:r>
                </m:e>
                <m:sub>
                  <m:r>
                    <m:t>t</m:t>
                  </m:r>
                  <m:r>
                    <m:rPr>
                      <m:sty m:val="p"/>
                    </m:rPr>
                    <m:t>+</m:t>
                  </m:r>
                  <m:r>
                    <m:t>1</m:t>
                  </m:r>
                </m:sub>
              </m:sSub>
              <m:r>
                <m:rPr>
                  <m:sty m:val="p"/>
                </m:rPr>
                <m:t>∣</m:t>
              </m:r>
              <m:sSub>
                <m:e>
                  <m:r>
                    <m:rPr>
                      <m:sty m:val="b"/>
                    </m:rPr>
                    <m:t>S</m:t>
                  </m:r>
                </m:e>
                <m:sub>
                  <m:r>
                    <m:t>t</m:t>
                  </m:r>
                </m:sub>
              </m:sSub>
              <m:r>
                <m:rPr>
                  <m:sty m:val="p"/>
                </m:rPr>
                <m:t>,</m:t>
              </m:r>
              <m:r>
                <m:rPr>
                  <m:sty m:val="b"/>
                </m:rPr>
                <m:t>θ</m:t>
              </m:r>
              <m:r>
                <m:rPr>
                  <m:sty m:val="p"/>
                </m:rPr>
                <m:t>,</m:t>
              </m:r>
              <m:sSub>
                <m:e>
                  <m:r>
                    <m:rPr>
                      <m:sty m:val="b"/>
                    </m:rPr>
                    <m:t>W</m:t>
                  </m:r>
                </m:e>
                <m:sub>
                  <m:r>
                    <m:t>t</m:t>
                  </m:r>
                  <m:r>
                    <m:rPr>
                      <m:sty m:val="p"/>
                    </m:rPr>
                    <m:t>+</m:t>
                  </m:r>
                  <m:r>
                    <m:t>1</m:t>
                  </m:r>
                </m:sub>
              </m:sSub>
            </m:e>
          </m:d>
          <m:r>
            <m:t> </m:t>
          </m:r>
          <m:r>
            <m:t>p</m:t>
          </m:r>
          <m:r>
            <m:t>​</m:t>
          </m:r>
          <m:d>
            <m:dPr>
              <m:begChr m:val="("/>
              <m:endChr m:val=")"/>
              <m:sepChr m:val=""/>
              <m:grow/>
            </m:dPr>
            <m:e>
              <m:sSub>
                <m:e>
                  <m:r>
                    <m:rPr>
                      <m:sty m:val="b"/>
                    </m:rPr>
                    <m:t>S</m:t>
                  </m:r>
                </m:e>
                <m:sub>
                  <m:r>
                    <m:t>t</m:t>
                  </m:r>
                </m:sub>
              </m:sSub>
              <m:r>
                <m:rPr>
                  <m:sty m:val="p"/>
                </m:rPr>
                <m:t>,</m:t>
              </m:r>
              <m:r>
                <m:rPr>
                  <m:sty m:val="b"/>
                </m:rPr>
                <m:t>θ</m:t>
              </m:r>
              <m:r>
                <m:rPr>
                  <m:sty m:val="p"/>
                </m:rPr>
                <m:t>∣</m:t>
              </m:r>
              <m:sSub>
                <m:e>
                  <m:r>
                    <m:t>D</m:t>
                  </m:r>
                </m:e>
                <m:sub>
                  <m:r>
                    <m:t>1</m:t>
                  </m:r>
                  <m:r>
                    <m:rPr>
                      <m:sty m:val="p"/>
                    </m:rPr>
                    <m:t>:</m:t>
                  </m:r>
                  <m:r>
                    <m:t>t</m:t>
                  </m:r>
                </m:sub>
              </m:sSub>
            </m:e>
          </m:d>
          <m:r>
            <m:t> </m:t>
          </m:r>
          <m:r>
            <m:t>d</m:t>
          </m:r>
          <m:sSub>
            <m:e>
              <m:r>
                <m:rPr>
                  <m:sty m:val="b"/>
                </m:rPr>
                <m:t>S</m:t>
              </m:r>
            </m:e>
            <m:sub>
              <m:r>
                <m:t>t</m:t>
              </m:r>
            </m:sub>
          </m:sSub>
          <m:r>
            <m:t> </m:t>
          </m:r>
          <m:r>
            <m:t>d</m:t>
          </m:r>
          <m:r>
            <m:rPr>
              <m:sty m:val="b"/>
            </m:rPr>
            <m:t>θ</m:t>
          </m:r>
        </m:oMath>
      </m:oMathPara>
    </w:p>
    <w:p>
      <w:pPr>
        <w:pStyle w:val="FirstParagraph"/>
      </w:pPr>
      <w:r>
        <w:t xml:space="preserve">The engine reports the median, 5th-to-95th percentile interval, decline probability, recovery probability, mortality probability, pest-outbreak probability, and main uncertainty contributors.</w:t>
      </w:r>
    </w:p>
    <w:bookmarkEnd w:id="32"/>
    <w:bookmarkEnd w:id="33"/>
    <w:bookmarkStart w:id="37" w:name="phase-6-pest-risk-inference-engine"/>
    <w:p>
      <w:pPr>
        <w:pStyle w:val="Heading1"/>
      </w:pPr>
      <w:r>
        <w:t xml:space="preserve">8. Phase 6: Pest-Risk Inference Engine</w:t>
      </w:r>
    </w:p>
    <w:p>
      <w:pPr>
        <w:pStyle w:val="FirstParagraph"/>
      </w:pPr>
      <w:r>
        <w:t xml:space="preserve">Phase 6 implemented independent evidence models for five PCA-supported pest and disease profiles. Taxonomic profiles are not merged unless expert reconciliation supports the change.</w:t>
      </w:r>
    </w:p>
    <w:bookmarkStart w:id="34" w:name="base-probability-model"/>
    <w:p>
      <w:pPr>
        <w:pStyle w:val="Heading2"/>
      </w:pPr>
      <w:r>
        <w:t xml:space="preserve">8.1 Base probability model</w:t>
      </w:r>
    </w:p>
    <w:p>
      <w:pPr>
        <w:pStyle w:val="FirstParagraph"/>
      </w:pPr>
      <w:r>
        <w:t xml:space="preserve">For pest</w:t>
      </w:r>
      <w:r>
        <w:t xml:space="preserve"> </w:t>
      </w:r>
      <m:oMath>
        <m:r>
          <m:t>p</m:t>
        </m:r>
      </m:oMath>
      <w:r>
        <w:t xml:space="preserve">, cell</w:t>
      </w:r>
      <w:r>
        <w:t xml:space="preserve"> </w:t>
      </w:r>
      <m:oMath>
        <m:r>
          <m:t>g</m:t>
        </m:r>
      </m:oMath>
      <w:r>
        <w:t xml:space="preserve">, and time</w:t>
      </w:r>
      <w:r>
        <w:t xml:space="preserve"> </w:t>
      </w:r>
      <m:oMath>
        <m:r>
          <m:t>t</m:t>
        </m:r>
      </m:oMath>
      <w:r>
        <w:t xml:space="preserve">:</w:t>
      </w:r>
    </w:p>
    <w:p>
      <w:pPr>
        <w:pStyle w:val="BodyText"/>
      </w:pPr>
      <m:oMathPara>
        <m:oMathParaPr>
          <m:jc m:val="center"/>
        </m:oMathParaPr>
        <m:oMath>
          <m:sSub>
            <m:e>
              <m:r>
                <m:t>P</m:t>
              </m:r>
            </m:e>
            <m:sub>
              <m:r>
                <m:t>p</m:t>
              </m:r>
              <m:r>
                <m:rPr>
                  <m:sty m:val="p"/>
                </m:rPr>
                <m:t>,</m:t>
              </m:r>
              <m:r>
                <m:t>g</m:t>
              </m:r>
              <m:r>
                <m:rPr>
                  <m:sty m:val="p"/>
                </m:rPr>
                <m:t>,</m:t>
              </m:r>
              <m:r>
                <m:t>t</m:t>
              </m:r>
            </m:sub>
          </m:sSub>
          <m:r>
            <m:rPr>
              <m:sty m:val="p"/>
            </m:rPr>
            <m:t>=</m:t>
          </m:r>
          <m:r>
            <m:t>σ</m:t>
          </m:r>
          <m:r>
            <m:t>​</m:t>
          </m:r>
          <m:d>
            <m:dPr>
              <m:begChr m:val="("/>
              <m:endChr m:val=")"/>
              <m:sepChr m:val=""/>
              <m:grow/>
            </m:dPr>
            <m:e>
              <m:sSub>
                <m:e>
                  <m:r>
                    <m:t>β</m:t>
                  </m:r>
                </m:e>
                <m:sub>
                  <m:r>
                    <m:t>0</m:t>
                  </m:r>
                  <m:r>
                    <m:rPr>
                      <m:sty m:val="p"/>
                    </m:rPr>
                    <m:t>,</m:t>
                  </m:r>
                  <m:r>
                    <m:t>p</m:t>
                  </m:r>
                </m:sub>
              </m:sSub>
              <m:r>
                <m:rPr>
                  <m:sty m:val="p"/>
                </m:rPr>
                <m:t>+</m:t>
              </m:r>
              <m:sSubSup>
                <m:e>
                  <m:r>
                    <m:rPr>
                      <m:sty m:val="b"/>
                    </m:rPr>
                    <m:t>β</m:t>
                  </m:r>
                </m:e>
                <m:sub>
                  <m:r>
                    <m:t>p</m:t>
                  </m:r>
                </m:sub>
                <m:sup>
                  <m:r>
                    <m:rPr>
                      <m:sty m:val="p"/>
                      <m:scr m:val="sans-serif"/>
                    </m:rPr>
                    <m:t>T</m:t>
                  </m:r>
                </m:sup>
              </m:sSubSup>
              <m:sSub>
                <m:e>
                  <m:r>
                    <m:rPr>
                      <m:sty m:val="b"/>
                    </m:rPr>
                    <m:t>X</m:t>
                  </m:r>
                </m:e>
                <m:sub>
                  <m:r>
                    <m:t>g</m:t>
                  </m:r>
                  <m:r>
                    <m:rPr>
                      <m:sty m:val="p"/>
                    </m:rPr>
                    <m:t>,</m:t>
                  </m:r>
                  <m:r>
                    <m:t>t</m:t>
                  </m:r>
                </m:sub>
              </m:sSub>
            </m:e>
          </m:d>
        </m:oMath>
      </m:oMathPara>
    </w:p>
    <w:p>
      <w:pPr>
        <w:pStyle w:val="FirstParagraph"/>
      </w:pPr>
      <w:r>
        <w:t xml:space="preserve">where:</w:t>
      </w:r>
    </w:p>
    <w:p>
      <w:pPr>
        <w:pStyle w:val="BodyText"/>
      </w:pPr>
      <m:oMathPara>
        <m:oMathParaPr>
          <m:jc m:val="center"/>
        </m:oMathParaPr>
        <m:oMath>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and</w:t>
      </w:r>
      <w:r>
        <w:t xml:space="preserve"> </w:t>
      </w:r>
      <m:oMath>
        <m:sSub>
          <m:e>
            <m:r>
              <m:rPr>
                <m:sty m:val="b"/>
              </m:rPr>
              <m:t>X</m:t>
            </m:r>
          </m:e>
          <m:sub>
            <m:r>
              <m:t>g</m:t>
            </m:r>
            <m:r>
              <m:rPr>
                <m:sty m:val="p"/>
              </m:rPr>
              <m:t>,</m:t>
            </m:r>
            <m:r>
              <m:t>t</m:t>
            </m:r>
          </m:sub>
        </m:sSub>
      </m:oMath>
      <w:r>
        <w:t xml:space="preserve"> </w:t>
      </w:r>
      <w:r>
        <w:t xml:space="preserve">contains pest-specific age, weather, drainage, wound, sanitation, symptom, nearby-case, and biological-control evidence.</w:t>
      </w:r>
    </w:p>
    <w:bookmarkEnd w:id="34"/>
    <w:bookmarkStart w:id="35" w:name="spatial-pressure"/>
    <w:p>
      <w:pPr>
        <w:pStyle w:val="Heading2"/>
      </w:pPr>
      <w:r>
        <w:t xml:space="preserve">8.2 Spatial pressure</w:t>
      </w:r>
    </w:p>
    <w:p>
      <w:pPr>
        <w:pStyle w:val="FirstParagraph"/>
      </w:pPr>
      <w:r>
        <w:t xml:space="preserve">Nearby confirmed cases contribute through distance decay:</w:t>
      </w:r>
    </w:p>
    <w:p>
      <w:pPr>
        <w:pStyle w:val="BodyText"/>
      </w:pPr>
      <m:oMathPara>
        <m:oMathParaPr>
          <m:jc m:val="center"/>
        </m:oMathParaPr>
        <m:oMath>
          <m:sSubSup>
            <m:e>
              <m:r>
                <m:t>P</m:t>
              </m:r>
            </m:e>
            <m:sub>
              <m:r>
                <m:t>p</m:t>
              </m:r>
              <m:r>
                <m:rPr>
                  <m:sty m:val="p"/>
                </m:rPr>
                <m:t>,</m:t>
              </m:r>
              <m:r>
                <m:t>g</m:t>
              </m:r>
              <m:r>
                <m:rPr>
                  <m:sty m:val="p"/>
                </m:rPr>
                <m:t>,</m:t>
              </m:r>
              <m:r>
                <m:t>t</m:t>
              </m:r>
            </m:sub>
            <m:sup>
              <m:r>
                <m:rPr>
                  <m:sty m:val="p"/>
                </m:rPr>
                <m:t>s</m:t>
              </m:r>
              <m:r>
                <m:rPr>
                  <m:sty m:val="p"/>
                </m:rPr>
                <m:t>p</m:t>
              </m:r>
              <m:r>
                <m:rPr>
                  <m:sty m:val="p"/>
                </m:rPr>
                <m:t>a</m:t>
              </m:r>
              <m:r>
                <m:rPr>
                  <m:sty m:val="p"/>
                </m:rPr>
                <m:t>t</m:t>
              </m:r>
              <m:r>
                <m:rPr>
                  <m:sty m:val="p"/>
                </m:rPr>
                <m:t>i</m:t>
              </m:r>
              <m:r>
                <m:rPr>
                  <m:sty m:val="p"/>
                </m:rPr>
                <m:t>a</m:t>
              </m:r>
              <m:r>
                <m:rPr>
                  <m:sty m:val="p"/>
                </m:rPr>
                <m:t>l</m:t>
              </m:r>
            </m:sup>
          </m:sSubSup>
          <m:r>
            <m:rPr>
              <m:sty m:val="p"/>
            </m:rPr>
            <m:t>=</m:t>
          </m:r>
          <m:r>
            <m:t>1</m:t>
          </m:r>
          <m:r>
            <m:rPr>
              <m:sty m:val="p"/>
            </m:rPr>
            <m:t>−</m:t>
          </m:r>
          <m:d>
            <m:dPr>
              <m:begChr m:val="("/>
              <m:endChr m:val=")"/>
              <m:sepChr m:val=""/>
              <m:grow/>
            </m:dPr>
            <m:e>
              <m:r>
                <m:t>1</m:t>
              </m:r>
              <m:r>
                <m:rPr>
                  <m:sty m:val="p"/>
                </m:rPr>
                <m:t>−</m:t>
              </m:r>
              <m:sSub>
                <m:e>
                  <m:r>
                    <m:t>P</m:t>
                  </m:r>
                </m:e>
                <m:sub>
                  <m:r>
                    <m:t>p</m:t>
                  </m:r>
                  <m:r>
                    <m:rPr>
                      <m:sty m:val="p"/>
                    </m:rPr>
                    <m:t>,</m:t>
                  </m:r>
                  <m:r>
                    <m:t>g</m:t>
                  </m:r>
                  <m:r>
                    <m:rPr>
                      <m:sty m:val="p"/>
                    </m:rPr>
                    <m:t>,</m:t>
                  </m:r>
                  <m:r>
                    <m:t>t</m:t>
                  </m:r>
                </m:sub>
              </m:sSub>
            </m:e>
          </m:d>
          <m:nary>
            <m:naryPr>
              <m:chr m:val="∏"/>
              <m:limLoc m:val="undOvr"/>
              <m:subHide m:val="off"/>
              <m:supHide m:val="on"/>
            </m:naryPr>
            <m:sub>
              <m:r>
                <m:t>h</m:t>
              </m:r>
              <m:r>
                <m:rPr>
                  <m:sty m:val="p"/>
                </m:rPr>
                <m:t>≠</m:t>
              </m:r>
              <m:r>
                <m:t>g</m:t>
              </m:r>
            </m:sub>
            <m:sup>
              <m:r>
                <m:t>​</m:t>
              </m:r>
            </m:sup>
            <m:e>
              <m:d>
                <m:dPr>
                  <m:begChr m:val="["/>
                  <m:endChr m:val="]"/>
                  <m:sepChr m:val=""/>
                  <m:grow/>
                </m:dPr>
                <m:e>
                  <m:r>
                    <m:t>1</m:t>
                  </m:r>
                  <m:r>
                    <m:rPr>
                      <m:sty m:val="p"/>
                    </m:rPr>
                    <m:t>−</m:t>
                  </m:r>
                  <m:sSub>
                    <m:e>
                      <m:r>
                        <m:t>k</m:t>
                      </m:r>
                    </m:e>
                    <m:sub>
                      <m:r>
                        <m:t>p</m:t>
                      </m:r>
                    </m:sub>
                  </m:sSub>
                  <m:r>
                    <m:t>​</m:t>
                  </m:r>
                  <m:d>
                    <m:dPr>
                      <m:begChr m:val="("/>
                      <m:endChr m:val=")"/>
                      <m:sepChr m:val=""/>
                      <m:grow/>
                    </m:dPr>
                    <m:e>
                      <m:sSub>
                        <m:e>
                          <m:r>
                            <m:t>d</m:t>
                          </m:r>
                        </m:e>
                        <m:sub>
                          <m:r>
                            <m:t>g</m:t>
                          </m:r>
                          <m:r>
                            <m:t>h</m:t>
                          </m:r>
                        </m:sub>
                      </m:sSub>
                    </m:e>
                  </m:d>
                  <m:sSub>
                    <m:e>
                      <m:r>
                        <m:t>P</m:t>
                      </m:r>
                    </m:e>
                    <m:sub>
                      <m:r>
                        <m:t>p</m:t>
                      </m:r>
                      <m:r>
                        <m:rPr>
                          <m:sty m:val="p"/>
                        </m:rPr>
                        <m:t>,</m:t>
                      </m:r>
                      <m:r>
                        <m:t>h</m:t>
                      </m:r>
                      <m:r>
                        <m:rPr>
                          <m:sty m:val="p"/>
                        </m:rPr>
                        <m:t>,</m:t>
                      </m:r>
                      <m:r>
                        <m:t>t</m:t>
                      </m:r>
                    </m:sub>
                  </m:sSub>
                </m:e>
              </m:d>
            </m:e>
          </m:nary>
        </m:oMath>
      </m:oMathPara>
    </w:p>
    <w:p>
      <w:pPr>
        <w:pStyle w:val="FirstParagraph"/>
      </w:pPr>
      <w:r>
        <w:t xml:space="preserve">A common distance kernel is:</w:t>
      </w:r>
    </w:p>
    <w:p>
      <w:pPr>
        <w:pStyle w:val="BodyText"/>
      </w:pPr>
      <m:oMathPara>
        <m:oMathParaPr>
          <m:jc m:val="center"/>
        </m:oMathParaPr>
        <m:oMath>
          <m:sSub>
            <m:e>
              <m:r>
                <m:t>k</m:t>
              </m:r>
            </m:e>
            <m:sub>
              <m:r>
                <m:t>p</m:t>
              </m:r>
            </m:sub>
          </m:sSub>
          <m:d>
            <m:dPr>
              <m:begChr m:val="("/>
              <m:endChr m:val=")"/>
              <m:sepChr m:val=""/>
              <m:grow/>
            </m:dPr>
            <m:e>
              <m:r>
                <m:t>d</m:t>
              </m:r>
            </m:e>
          </m:d>
          <m:r>
            <m:rPr>
              <m:sty m:val="p"/>
            </m:rPr>
            <m:t>=</m:t>
          </m:r>
          <m:sSup>
            <m:e>
              <m:r>
                <m:t>e</m:t>
              </m:r>
            </m:e>
            <m:sup>
              <m:r>
                <m:rPr>
                  <m:sty m:val="p"/>
                </m:rPr>
                <m:t>−</m:t>
              </m:r>
              <m:r>
                <m:t>d</m:t>
              </m:r>
              <m:r>
                <m:rPr>
                  <m:sty m:val="p"/>
                </m:rPr>
                <m:t>/</m:t>
              </m:r>
              <m:sSub>
                <m:e>
                  <m:r>
                    <m:t>λ</m:t>
                  </m:r>
                </m:e>
                <m:sub>
                  <m:r>
                    <m:t>p</m:t>
                  </m:r>
                </m:sub>
              </m:sSub>
            </m:sup>
          </m:sSup>
        </m:oMath>
      </m:oMathPara>
    </w:p>
    <w:p>
      <w:pPr>
        <w:pStyle w:val="FirstParagraph"/>
      </w:pPr>
      <w:r>
        <w:t xml:space="preserve">where</w:t>
      </w:r>
      <w:r>
        <w:t xml:space="preserve"> </w:t>
      </w:r>
      <m:oMath>
        <m:sSub>
          <m:e>
            <m:r>
              <m:t>λ</m:t>
            </m:r>
          </m:e>
          <m:sub>
            <m:r>
              <m:t>p</m:t>
            </m:r>
          </m:sub>
        </m:sSub>
      </m:oMath>
      <w:r>
        <w:t xml:space="preserve"> </w:t>
      </w:r>
      <w:r>
        <w:t xml:space="preserve">controls the spatial influence range.</w:t>
      </w:r>
    </w:p>
    <w:bookmarkEnd w:id="35"/>
    <w:bookmarkStart w:id="36" w:name="conditional-and-expected-loss"/>
    <w:p>
      <w:pPr>
        <w:pStyle w:val="Heading2"/>
      </w:pPr>
      <w:r>
        <w:t xml:space="preserve">8.3 Conditional and expected loss</w:t>
      </w:r>
    </w:p>
    <w:p>
      <w:pPr>
        <w:pStyle w:val="FirstParagraph"/>
      </w:pPr>
      <w:r>
        <w:t xml:space="preserve">Loss if an outbreak occurs is:</w:t>
      </w:r>
    </w:p>
    <w:p>
      <w:pPr>
        <w:pStyle w:val="BodyText"/>
      </w:pPr>
      <m:oMathPara>
        <m:oMathParaPr>
          <m:jc m:val="center"/>
        </m:oMathParaPr>
        <m:oMath>
          <m:sSubSup>
            <m:e>
              <m:r>
                <m:t>L</m:t>
              </m:r>
            </m:e>
            <m:sub>
              <m:r>
                <m:t>p</m:t>
              </m:r>
            </m:sub>
            <m:sup>
              <m:r>
                <m:rPr>
                  <m:nor/>
                  <m:sty m:val="p"/>
                </m:rPr>
                <m:t>conditional</m:t>
              </m:r>
            </m:sup>
          </m:sSubSup>
          <m:r>
            <m:rPr>
              <m:sty m:val="p"/>
            </m:rPr>
            <m:t>=</m:t>
          </m:r>
          <m:sSub>
            <m:e>
              <m:r>
                <m:t>Y</m:t>
              </m:r>
            </m:e>
            <m:sub>
              <m:r>
                <m:rPr>
                  <m:nor/>
                  <m:sty m:val="p"/>
                </m:rPr>
                <m:t>exposed</m:t>
              </m:r>
            </m:sub>
          </m:sSub>
          <m:r>
            <m:t> </m:t>
          </m:r>
          <m:sSub>
            <m:e>
              <m:r>
                <m:t>f</m:t>
              </m:r>
            </m:e>
            <m:sub>
              <m:r>
                <m:t>p</m:t>
              </m:r>
            </m:sub>
          </m:sSub>
          <m:r>
            <m:t>​</m:t>
          </m:r>
          <m:d>
            <m:dPr>
              <m:begChr m:val="("/>
              <m:endChr m:val=")"/>
              <m:sepChr m:val=""/>
              <m:grow/>
            </m:dPr>
            <m:e>
              <m:r>
                <m:t>s</m:t>
              </m:r>
              <m:r>
                <m:rPr>
                  <m:sty m:val="p"/>
                </m:rPr>
                <m:t>,</m:t>
              </m:r>
              <m:r>
                <m:t>d</m:t>
              </m:r>
              <m:r>
                <m:rPr>
                  <m:sty m:val="p"/>
                </m:rPr>
                <m:t>,</m:t>
              </m:r>
              <m:r>
                <m:t>a</m:t>
              </m:r>
            </m:e>
          </m:d>
        </m:oMath>
      </m:oMathPara>
    </w:p>
    <w:p>
      <w:pPr>
        <w:pStyle w:val="FirstParagraph"/>
      </w:pPr>
      <w:r>
        <w:t xml:space="preserve">where</w:t>
      </w:r>
      <w:r>
        <w:t xml:space="preserve"> </w:t>
      </w:r>
      <m:oMath>
        <m:r>
          <m:t>s</m:t>
        </m:r>
      </m:oMath>
      <w:r>
        <w:t xml:space="preserve"> </w:t>
      </w:r>
      <w:r>
        <w:t xml:space="preserve">is severity,</w:t>
      </w:r>
      <w:r>
        <w:t xml:space="preserve"> </w:t>
      </w:r>
      <m:oMath>
        <m:r>
          <m:t>d</m:t>
        </m:r>
      </m:oMath>
      <w:r>
        <w:t xml:space="preserve"> </w:t>
      </w:r>
      <w:r>
        <w:t xml:space="preserve">is duration, and</w:t>
      </w:r>
      <w:r>
        <w:t xml:space="preserve"> </w:t>
      </w:r>
      <m:oMath>
        <m:r>
          <m:t>a</m:t>
        </m:r>
      </m:oMath>
      <w:r>
        <w:t xml:space="preserve"> </w:t>
      </w:r>
      <w:r>
        <w:t xml:space="preserve">is palm age.</w:t>
      </w:r>
    </w:p>
    <w:p>
      <w:pPr>
        <w:pStyle w:val="BodyText"/>
      </w:pPr>
      <w:r>
        <w:t xml:space="preserve">Expected loss is kept separate:</w:t>
      </w:r>
    </w:p>
    <w:p>
      <w:pPr>
        <w:pStyle w:val="BodyText"/>
      </w:pPr>
      <m:oMathPara>
        <m:oMathParaPr>
          <m:jc m:val="center"/>
        </m:oMathParaPr>
        <m:oMath>
          <m:r>
            <m:rPr>
              <m:sty m:val="p"/>
              <m:scr m:val="double-struck"/>
            </m:rPr>
            <m:t>E</m:t>
          </m:r>
          <m:r>
            <m:t>​</m:t>
          </m:r>
          <m:d>
            <m:dPr>
              <m:begChr m:val="["/>
              <m:endChr m:val="]"/>
              <m:sepChr m:val=""/>
              <m:grow/>
            </m:dPr>
            <m:e>
              <m:sSub>
                <m:e>
                  <m:r>
                    <m:t>L</m:t>
                  </m:r>
                </m:e>
                <m:sub>
                  <m:r>
                    <m:t>p</m:t>
                  </m:r>
                </m:sub>
              </m:sSub>
            </m:e>
          </m:d>
          <m:r>
            <m:rPr>
              <m:sty m:val="p"/>
            </m:rPr>
            <m:t>=</m:t>
          </m:r>
          <m:sSubSup>
            <m:e>
              <m:r>
                <m:t>P</m:t>
              </m:r>
            </m:e>
            <m:sub>
              <m:r>
                <m:t>p</m:t>
              </m:r>
              <m:r>
                <m:rPr>
                  <m:sty m:val="p"/>
                </m:rPr>
                <m:t>,</m:t>
              </m:r>
              <m:r>
                <m:t>g</m:t>
              </m:r>
              <m:r>
                <m:rPr>
                  <m:sty m:val="p"/>
                </m:rPr>
                <m:t>,</m:t>
              </m:r>
              <m:r>
                <m:t>t</m:t>
              </m:r>
            </m:sub>
            <m:sup>
              <m:r>
                <m:rPr>
                  <m:sty m:val="p"/>
                </m:rPr>
                <m:t>s</m:t>
              </m:r>
              <m:r>
                <m:rPr>
                  <m:sty m:val="p"/>
                </m:rPr>
                <m:t>p</m:t>
              </m:r>
              <m:r>
                <m:rPr>
                  <m:sty m:val="p"/>
                </m:rPr>
                <m:t>a</m:t>
              </m:r>
              <m:r>
                <m:rPr>
                  <m:sty m:val="p"/>
                </m:rPr>
                <m:t>t</m:t>
              </m:r>
              <m:r>
                <m:rPr>
                  <m:sty m:val="p"/>
                </m:rPr>
                <m:t>i</m:t>
              </m:r>
              <m:r>
                <m:rPr>
                  <m:sty m:val="p"/>
                </m:rPr>
                <m:t>a</m:t>
              </m:r>
              <m:r>
                <m:rPr>
                  <m:sty m:val="p"/>
                </m:rPr>
                <m:t>l</m:t>
              </m:r>
            </m:sup>
          </m:sSubSup>
          <m:r>
            <m:t> </m:t>
          </m:r>
          <m:sSubSup>
            <m:e>
              <m:r>
                <m:t>L</m:t>
              </m:r>
            </m:e>
            <m:sub>
              <m:r>
                <m:t>p</m:t>
              </m:r>
            </m:sub>
            <m:sup>
              <m:r>
                <m:rPr>
                  <m:nor/>
                  <m:sty m:val="p"/>
                </m:rPr>
                <m:t>conditional</m:t>
              </m:r>
            </m:sup>
          </m:sSubSup>
        </m:oMath>
      </m:oMathPara>
    </w:p>
    <w:p>
      <w:pPr>
        <w:pStyle w:val="FirstParagraph"/>
      </w:pPr>
      <w:r>
        <w:t xml:space="preserve">Therefore:</w:t>
      </w:r>
    </w:p>
    <w:p>
      <w:pPr>
        <w:pStyle w:val="BodyText"/>
      </w:pPr>
      <m:oMathPara>
        <m:oMathParaPr>
          <m:jc m:val="center"/>
        </m:oMathParaPr>
        <m:oMath>
          <m:r>
            <m:t>0</m:t>
          </m:r>
          <m:r>
            <m:rPr>
              <m:sty m:val="p"/>
            </m:rPr>
            <m:t>≤</m:t>
          </m:r>
          <m:r>
            <m:rPr>
              <m:sty m:val="p"/>
              <m:scr m:val="double-struck"/>
            </m:rPr>
            <m:t>E</m:t>
          </m:r>
          <m:r>
            <m:t>​</m:t>
          </m:r>
          <m:d>
            <m:dPr>
              <m:begChr m:val="["/>
              <m:endChr m:val="]"/>
              <m:sepChr m:val=""/>
              <m:grow/>
            </m:dPr>
            <m:e>
              <m:sSub>
                <m:e>
                  <m:r>
                    <m:t>L</m:t>
                  </m:r>
                </m:e>
                <m:sub>
                  <m:r>
                    <m:t>p</m:t>
                  </m:r>
                </m:sub>
              </m:sSub>
            </m:e>
          </m:d>
          <m:r>
            <m:rPr>
              <m:sty m:val="p"/>
            </m:rPr>
            <m:t>≤</m:t>
          </m:r>
          <m:sSubSup>
            <m:e>
              <m:r>
                <m:t>L</m:t>
              </m:r>
            </m:e>
            <m:sub>
              <m:r>
                <m:t>p</m:t>
              </m:r>
            </m:sub>
            <m:sup>
              <m:r>
                <m:rPr>
                  <m:nor/>
                  <m:sty m:val="p"/>
                </m:rPr>
                <m:t>conditional</m:t>
              </m:r>
            </m:sup>
          </m:sSubSup>
        </m:oMath>
      </m:oMathPara>
    </w:p>
    <w:p>
      <w:pPr>
        <w:pStyle w:val="FirstParagraph"/>
      </w:pPr>
      <w:r>
        <w:t xml:space="preserve">This prevents the interface from displaying a severe but low-probability loss as if the complete loss were expected.</w:t>
      </w:r>
    </w:p>
    <w:bookmarkEnd w:id="36"/>
    <w:bookmarkEnd w:id="37"/>
    <w:bookmarkStart w:id="40" w:name="phase-7-intercropping-potential-engine"/>
    <w:p>
      <w:pPr>
        <w:pStyle w:val="Heading1"/>
      </w:pPr>
      <w:r>
        <w:t xml:space="preserve">9. Phase 7: Intercropping Potential Engine</w:t>
      </w:r>
    </w:p>
    <w:p>
      <w:pPr>
        <w:pStyle w:val="FirstParagraph"/>
      </w:pPr>
      <w:r>
        <w:t xml:space="preserve">Phase 7 implemented a spatial, evidence-based scoring engine. It does not claim to be a validated supervised intercropping model because farm-level labeled outcomes remain insufficient.</w:t>
      </w:r>
    </w:p>
    <w:bookmarkStart w:id="38" w:name="understory-light"/>
    <w:p>
      <w:pPr>
        <w:pStyle w:val="Heading2"/>
      </w:pPr>
      <w:r>
        <w:t xml:space="preserve">9.1 Understory light</w:t>
      </w:r>
    </w:p>
    <w:p>
      <w:pPr>
        <w:pStyle w:val="FirstParagraph"/>
      </w:pPr>
      <w:r>
        <w:t xml:space="preserve">Incoming photosynthetically active radiation is approximated by:</w:t>
      </w:r>
    </w:p>
    <w:p>
      <w:pPr>
        <w:pStyle w:val="BodyText"/>
      </w:pPr>
      <m:oMathPara>
        <m:oMathParaPr>
          <m:jc m:val="center"/>
        </m:oMathParaPr>
        <m:oMath>
          <m:r>
            <m:t>P</m:t>
          </m:r>
          <m:r>
            <m:t>A</m:t>
          </m:r>
          <m:sSub>
            <m:e>
              <m:r>
                <m:t>R</m:t>
              </m:r>
            </m:e>
            <m:sub>
              <m:r>
                <m:t>t</m:t>
              </m:r>
            </m:sub>
          </m:sSub>
          <m:r>
            <m:rPr>
              <m:sty m:val="p"/>
            </m:rPr>
            <m:t>=</m:t>
          </m:r>
          <m:sSub>
            <m:e>
              <m:r>
                <m:t>k</m:t>
              </m:r>
            </m:e>
            <m:sub>
              <m:r>
                <m:t>P</m:t>
              </m:r>
              <m:r>
                <m:t>A</m:t>
              </m:r>
              <m:r>
                <m:t>R</m:t>
              </m:r>
            </m:sub>
          </m:sSub>
          <m:r>
            <m:t> </m:t>
          </m:r>
          <m:r>
            <m:t>S</m:t>
          </m:r>
          <m:sSub>
            <m:e>
              <m:r>
                <m:t>R</m:t>
              </m:r>
            </m:e>
            <m:sub>
              <m:r>
                <m:t>t</m:t>
              </m:r>
            </m:sub>
          </m:sSub>
        </m:oMath>
      </m:oMathPara>
    </w:p>
    <w:p>
      <w:pPr>
        <w:pStyle w:val="FirstParagraph"/>
      </w:pPr>
      <w:r>
        <w:t xml:space="preserve">Understory radiation for cell</w:t>
      </w:r>
      <w:r>
        <w:t xml:space="preserve"> </w:t>
      </w:r>
      <m:oMath>
        <m:r>
          <m:t>g</m:t>
        </m:r>
      </m:oMath>
      <w:r>
        <w:t xml:space="preserve"> </w:t>
      </w:r>
      <w:r>
        <w:t xml:space="preserve">is:</w:t>
      </w:r>
    </w:p>
    <w:p>
      <w:pPr>
        <w:pStyle w:val="BodyText"/>
      </w:pPr>
      <m:oMathPara>
        <m:oMathParaPr>
          <m:jc m:val="center"/>
        </m:oMathParaPr>
        <m:oMath>
          <m:r>
            <m:t>P</m:t>
          </m:r>
          <m:r>
            <m:t>A</m:t>
          </m:r>
          <m:sSubSup>
            <m:e>
              <m:r>
                <m:t>R</m:t>
              </m:r>
            </m:e>
            <m:sub>
              <m:r>
                <m:t>g</m:t>
              </m:r>
              <m:r>
                <m:rPr>
                  <m:sty m:val="p"/>
                </m:rPr>
                <m:t>,</m:t>
              </m:r>
              <m:r>
                <m:t>t</m:t>
              </m:r>
            </m:sub>
            <m:sup>
              <m:r>
                <m:rPr>
                  <m:nor/>
                  <m:sty m:val="p"/>
                </m:rPr>
                <m:t>under</m:t>
              </m:r>
            </m:sup>
          </m:sSubSup>
          <m:r>
            <m:rPr>
              <m:sty m:val="p"/>
            </m:rPr>
            <m:t>=</m:t>
          </m:r>
          <m:r>
            <m:t>P</m:t>
          </m:r>
          <m:r>
            <m:t>A</m:t>
          </m:r>
          <m:sSub>
            <m:e>
              <m:r>
                <m:t>R</m:t>
              </m:r>
            </m:e>
            <m:sub>
              <m:r>
                <m:t>t</m:t>
              </m:r>
            </m:sub>
          </m:sSub>
          <m:r>
            <m:t> </m:t>
          </m:r>
          <m:r>
            <m:t>τ</m:t>
          </m:r>
          <m:r>
            <m:t>​</m:t>
          </m:r>
          <m:d>
            <m:dPr>
              <m:begChr m:val="("/>
              <m:endChr m:val=")"/>
              <m:sepChr m:val=""/>
              <m:grow/>
            </m:dPr>
            <m:e>
              <m:sSub>
                <m:e>
                  <m:r>
                    <m:t>A</m:t>
                  </m:r>
                </m:e>
                <m:sub>
                  <m:r>
                    <m:t>g</m:t>
                  </m:r>
                </m:sub>
              </m:sSub>
              <m:r>
                <m:rPr>
                  <m:sty m:val="p"/>
                </m:rPr>
                <m:t>,</m:t>
              </m:r>
              <m:sSub>
                <m:e>
                  <m:r>
                    <m:t>D</m:t>
                  </m:r>
                </m:e>
                <m:sub>
                  <m:r>
                    <m:t>g</m:t>
                  </m:r>
                </m:sub>
              </m:sSub>
              <m:r>
                <m:rPr>
                  <m:sty m:val="p"/>
                </m:rPr>
                <m:t>,</m:t>
              </m:r>
              <m:sSub>
                <m:e>
                  <m:r>
                    <m:t>C</m:t>
                  </m:r>
                </m:e>
                <m:sub>
                  <m:r>
                    <m:t>g</m:t>
                  </m:r>
                </m:sub>
              </m:sSub>
              <m:r>
                <m:rPr>
                  <m:sty m:val="p"/>
                </m:rPr>
                <m:t>,</m:t>
              </m:r>
              <m:sSub>
                <m:e>
                  <m:r>
                    <m:t>O</m:t>
                  </m:r>
                </m:e>
                <m:sub>
                  <m:r>
                    <m:t>g</m:t>
                  </m:r>
                </m:sub>
              </m:sSub>
              <m:r>
                <m:rPr>
                  <m:sty m:val="p"/>
                </m:rPr>
                <m:t>,</m:t>
              </m:r>
              <m:r>
                <m:t>m</m:t>
              </m:r>
            </m:e>
          </m:d>
        </m:oMath>
      </m:oMathPara>
    </w:p>
    <w:p>
      <w:pPr>
        <w:pStyle w:val="FirstParagraph"/>
      </w:pPr>
      <w:r>
        <w:t xml:space="preserve">where</w:t>
      </w:r>
      <w:r>
        <w:t xml:space="preserve"> </w:t>
      </w:r>
      <m:oMath>
        <m:sSub>
          <m:e>
            <m:r>
              <m:t>A</m:t>
            </m:r>
          </m:e>
          <m:sub>
            <m:r>
              <m:t>g</m:t>
            </m:r>
          </m:sub>
        </m:sSub>
      </m:oMath>
      <w:r>
        <w:t xml:space="preserve"> </w:t>
      </w:r>
      <w:r>
        <w:t xml:space="preserve">is palm age,</w:t>
      </w:r>
      <w:r>
        <w:t xml:space="preserve"> </w:t>
      </w:r>
      <m:oMath>
        <m:sSub>
          <m:e>
            <m:r>
              <m:t>D</m:t>
            </m:r>
          </m:e>
          <m:sub>
            <m:r>
              <m:t>g</m:t>
            </m:r>
          </m:sub>
        </m:sSub>
      </m:oMath>
      <w:r>
        <w:t xml:space="preserve"> </w:t>
      </w:r>
      <w:r>
        <w:t xml:space="preserve">is spacing,</w:t>
      </w:r>
      <w:r>
        <w:t xml:space="preserve"> </w:t>
      </w:r>
      <m:oMath>
        <m:sSub>
          <m:e>
            <m:r>
              <m:t>C</m:t>
            </m:r>
          </m:e>
          <m:sub>
            <m:r>
              <m:t>g</m:t>
            </m:r>
          </m:sub>
        </m:sSub>
      </m:oMath>
      <w:r>
        <w:t xml:space="preserve"> </w:t>
      </w:r>
      <w:r>
        <w:t xml:space="preserve">is canopy density,</w:t>
      </w:r>
      <w:r>
        <w:t xml:space="preserve"> </w:t>
      </w:r>
      <m:oMath>
        <m:sSub>
          <m:e>
            <m:r>
              <m:t>O</m:t>
            </m:r>
          </m:e>
          <m:sub>
            <m:r>
              <m:t>g</m:t>
            </m:r>
          </m:sub>
        </m:sSub>
      </m:oMath>
      <w:r>
        <w:t xml:space="preserve"> </w:t>
      </w:r>
      <w:r>
        <w:t xml:space="preserve">is row orientation,</w:t>
      </w:r>
      <w:r>
        <w:t xml:space="preserve"> </w:t>
      </w:r>
      <m:oMath>
        <m:r>
          <m:t>m</m:t>
        </m:r>
      </m:oMath>
      <w:r>
        <w:t xml:space="preserve"> </w:t>
      </w:r>
      <w:r>
        <w:t xml:space="preserve">is season, and</w:t>
      </w:r>
      <w:r>
        <w:t xml:space="preserve"> </w:t>
      </w:r>
      <m:oMath>
        <m:r>
          <m:t>τ</m:t>
        </m:r>
      </m:oMath>
      <w:r>
        <w:t xml:space="preserve"> </w:t>
      </w:r>
      <w:r>
        <w:t xml:space="preserve">is the PCA-backed canopy-light transmission function.</w:t>
      </w:r>
    </w:p>
    <w:bookmarkEnd w:id="38"/>
    <w:bookmarkStart w:id="39" w:name="weighted-geometric-suitability"/>
    <w:p>
      <w:pPr>
        <w:pStyle w:val="Heading2"/>
      </w:pPr>
      <w:r>
        <w:t xml:space="preserve">9.2 Weighted geometric suitability</w:t>
      </w:r>
    </w:p>
    <w:p>
      <w:pPr>
        <w:pStyle w:val="FirstParagraph"/>
      </w:pPr>
      <w:r>
        <w:t xml:space="preserve">For crop</w:t>
      </w:r>
      <w:r>
        <w:t xml:space="preserve"> </w:t>
      </w:r>
      <m:oMath>
        <m:r>
          <m:t>c</m:t>
        </m:r>
      </m:oMath>
      <w:r>
        <w:t xml:space="preserve"> </w:t>
      </w:r>
      <w:r>
        <w:t xml:space="preserve">and cell</w:t>
      </w:r>
      <w:r>
        <w:t xml:space="preserve"> </w:t>
      </w:r>
      <m:oMath>
        <m:r>
          <m:t>g</m:t>
        </m:r>
      </m:oMath>
      <w:r>
        <w:t xml:space="preserve">, the nine component scores are aggregated by a weighted geometric mean:</w:t>
      </w:r>
    </w:p>
    <w:p>
      <w:pPr>
        <w:pStyle w:val="BodyText"/>
      </w:pPr>
      <m:oMathPara>
        <m:oMathParaPr>
          <m:jc m:val="center"/>
        </m:oMathParaPr>
        <m:oMath>
          <m:sSub>
            <m:e>
              <m:r>
                <m:t>G</m:t>
              </m:r>
            </m:e>
            <m:sub>
              <m:r>
                <m:t>c</m:t>
              </m:r>
              <m:r>
                <m:rPr>
                  <m:sty m:val="p"/>
                </m:rPr>
                <m:t>,</m:t>
              </m:r>
              <m:r>
                <m:t>g</m:t>
              </m:r>
            </m:sub>
          </m:sSub>
          <m:r>
            <m:rPr>
              <m:sty m:val="p"/>
            </m:rPr>
            <m:t>=</m:t>
          </m:r>
          <m:sSup>
            <m:e>
              <m:d>
                <m:dPr>
                  <m:begChr m:val="("/>
                  <m:endChr m:val=")"/>
                  <m:sepChr m:val=""/>
                  <m:grow/>
                </m:dPr>
                <m:e>
                  <m:nary>
                    <m:naryPr>
                      <m:chr m:val="∏"/>
                      <m:limLoc m:val="undOvr"/>
                      <m:subHide m:val="off"/>
                      <m:supHide m:val="off"/>
                    </m:naryPr>
                    <m:sub>
                      <m:r>
                        <m:t>j</m:t>
                      </m:r>
                      <m:r>
                        <m:rPr>
                          <m:sty m:val="p"/>
                        </m:rPr>
                        <m:t>=</m:t>
                      </m:r>
                      <m:r>
                        <m:t>1</m:t>
                      </m:r>
                    </m:sub>
                    <m:sup>
                      <m:r>
                        <m:t>9</m:t>
                      </m:r>
                    </m:sup>
                    <m:e>
                      <m:sSubSup>
                        <m:e>
                          <m:r>
                            <m:t>s</m:t>
                          </m:r>
                        </m:e>
                        <m:sub>
                          <m:r>
                            <m:t>j</m:t>
                          </m:r>
                          <m:r>
                            <m:rPr>
                              <m:sty m:val="p"/>
                            </m:rPr>
                            <m:t>,</m:t>
                          </m:r>
                          <m:r>
                            <m:t>c</m:t>
                          </m:r>
                          <m:r>
                            <m:rPr>
                              <m:sty m:val="p"/>
                            </m:rPr>
                            <m:t>,</m:t>
                          </m:r>
                          <m:r>
                            <m:t>g</m:t>
                          </m:r>
                        </m:sub>
                        <m:sup>
                          <m:sSub>
                            <m:e>
                              <m:r>
                                <m:t>w</m:t>
                              </m:r>
                            </m:e>
                            <m:sub>
                              <m:r>
                                <m:t>j</m:t>
                              </m:r>
                            </m:sub>
                          </m:sSub>
                        </m:sup>
                      </m:sSubSup>
                    </m:e>
                  </m:nary>
                </m:e>
              </m:d>
            </m:e>
            <m:sup>
              <m:r>
                <m:t>1</m:t>
              </m:r>
              <m:r>
                <m:rPr>
                  <m:sty m:val="p"/>
                </m:rPr>
                <m:t>/</m:t>
              </m:r>
              <m:nary>
                <m:naryPr>
                  <m:chr m:val="∑"/>
                  <m:limLoc m:val="undOvr"/>
                  <m:subHide m:val="off"/>
                  <m:supHide m:val="off"/>
                </m:naryPr>
                <m:sub>
                  <m:r>
                    <m:t>j</m:t>
                  </m:r>
                  <m:r>
                    <m:rPr>
                      <m:sty m:val="p"/>
                    </m:rPr>
                    <m:t>=</m:t>
                  </m:r>
                  <m:r>
                    <m:t>1</m:t>
                  </m:r>
                </m:sub>
                <m:sup>
                  <m:r>
                    <m:t>9</m:t>
                  </m:r>
                </m:sup>
                <m:e>
                  <m:sSub>
                    <m:e>
                      <m:r>
                        <m:t>w</m:t>
                      </m:r>
                    </m:e>
                    <m:sub>
                      <m:r>
                        <m:t>j</m:t>
                      </m:r>
                    </m:sub>
                  </m:sSub>
                </m:e>
              </m:nary>
            </m:sup>
          </m:sSup>
        </m:oMath>
      </m:oMathPara>
    </w:p>
    <w:p>
      <w:pPr>
        <w:pStyle w:val="FirstParagraph"/>
      </w:pPr>
      <w:r>
        <w:t xml:space="preserve">The final score is:</w:t>
      </w:r>
    </w:p>
    <w:p>
      <w:pPr>
        <w:pStyle w:val="BodyText"/>
      </w:pPr>
      <m:oMathPara>
        <m:oMathParaPr>
          <m:jc m:val="center"/>
        </m:oMathParaPr>
        <m:oMath>
          <m:sSub>
            <m:e>
              <m:r>
                <m:t>I</m:t>
              </m:r>
            </m:e>
            <m:sub>
              <m:r>
                <m:t>c</m:t>
              </m:r>
              <m:r>
                <m:rPr>
                  <m:sty m:val="p"/>
                </m:rPr>
                <m:t>,</m:t>
              </m:r>
              <m:r>
                <m:t>g</m:t>
              </m:r>
            </m:sub>
          </m:sSub>
          <m:r>
            <m:rPr>
              <m:sty m:val="p"/>
            </m:rPr>
            <m:t>=</m:t>
          </m:r>
          <m:r>
            <m:t>100</m:t>
          </m:r>
          <m:r>
            <m:t> </m:t>
          </m:r>
          <m:sSub>
            <m:e>
              <m:r>
                <m:t>G</m:t>
              </m:r>
            </m:e>
            <m:sub>
              <m:r>
                <m:t>c</m:t>
              </m:r>
              <m:r>
                <m:rPr>
                  <m:sty m:val="p"/>
                </m:rPr>
                <m:t>,</m:t>
              </m:r>
              <m:r>
                <m:t>g</m:t>
              </m:r>
            </m:sub>
          </m:sSub>
          <m:d>
            <m:dPr>
              <m:begChr m:val="("/>
              <m:endChr m:val=")"/>
              <m:sepChr m:val=""/>
              <m:grow/>
            </m:dPr>
            <m:e>
              <m:r>
                <m:t>1</m:t>
              </m:r>
              <m:r>
                <m:rPr>
                  <m:sty m:val="p"/>
                </m:rPr>
                <m:t>−</m:t>
              </m:r>
              <m:sSubSup>
                <m:e>
                  <m:r>
                    <m:t>P</m:t>
                  </m:r>
                </m:e>
                <m:sub>
                  <m:r>
                    <m:t>c</m:t>
                  </m:r>
                  <m:r>
                    <m:rPr>
                      <m:sty m:val="p"/>
                    </m:rPr>
                    <m:t>,</m:t>
                  </m:r>
                  <m:r>
                    <m:t>g</m:t>
                  </m:r>
                </m:sub>
                <m:sup>
                  <m:r>
                    <m:rPr>
                      <m:nor/>
                      <m:sty m:val="p"/>
                    </m:rPr>
                    <m:t>competition</m:t>
                  </m:r>
                </m:sup>
              </m:sSubSup>
            </m:e>
          </m:d>
          <m:d>
            <m:dPr>
              <m:begChr m:val="("/>
              <m:endChr m:val=")"/>
              <m:sepChr m:val=""/>
              <m:grow/>
            </m:dPr>
            <m:e>
              <m:r>
                <m:t>1</m:t>
              </m:r>
              <m:r>
                <m:rPr>
                  <m:sty m:val="p"/>
                </m:rPr>
                <m:t>−</m:t>
              </m:r>
              <m:sSubSup>
                <m:e>
                  <m:r>
                    <m:t>P</m:t>
                  </m:r>
                </m:e>
                <m:sub>
                  <m:r>
                    <m:t>c</m:t>
                  </m:r>
                  <m:r>
                    <m:rPr>
                      <m:sty m:val="p"/>
                    </m:rPr>
                    <m:t>,</m:t>
                  </m:r>
                  <m:r>
                    <m:t>g</m:t>
                  </m:r>
                </m:sub>
                <m:sup>
                  <m:r>
                    <m:rPr>
                      <m:nor/>
                      <m:sty m:val="p"/>
                    </m:rPr>
                    <m:t>pest conflict</m:t>
                  </m:r>
                </m:sup>
              </m:sSubSup>
            </m:e>
          </m:d>
        </m:oMath>
      </m:oMathPara>
    </w:p>
    <w:p>
      <w:pPr>
        <w:pStyle w:val="FirstParagraph"/>
      </w:pPr>
      <w:r>
        <w:t xml:space="preserve">If a hard light or slope constraint fails, the system applies:</w:t>
      </w:r>
    </w:p>
    <w:p>
      <w:pPr>
        <w:pStyle w:val="BodyText"/>
      </w:pPr>
      <m:oMathPara>
        <m:oMathParaPr>
          <m:jc m:val="center"/>
        </m:oMathParaPr>
        <m:oMath>
          <m:sSub>
            <m:e>
              <m:r>
                <m:t>I</m:t>
              </m:r>
            </m:e>
            <m:sub>
              <m:r>
                <m:t>c</m:t>
              </m:r>
              <m:r>
                <m:rPr>
                  <m:sty m:val="p"/>
                </m:rPr>
                <m:t>,</m:t>
              </m:r>
              <m:r>
                <m:t>g</m:t>
              </m:r>
            </m:sub>
          </m:sSub>
          <m:r>
            <m:rPr>
              <m:sty m:val="p"/>
            </m:rPr>
            <m:t>≤</m:t>
          </m:r>
          <m:r>
            <m:t>40</m:t>
          </m:r>
        </m:oMath>
      </m:oMathPara>
    </w:p>
    <w:p>
      <w:pPr>
        <w:pStyle w:val="FirstParagraph"/>
      </w:pPr>
      <w:r>
        <w:t xml:space="preserve">so severe incompatibility cannot be hidden by favorable values in unrelated components.</w:t>
      </w:r>
    </w:p>
    <w:p>
      <w:pPr>
        <w:pStyle w:val="BodyText"/>
      </w:pPr>
      <w:r>
        <w:t xml:space="preserve">Cacao and coffee have sanitized gross-revenue scenarios. These are reported as ranges, not net-profit or guaranteed-income predictions.</w:t>
      </w:r>
    </w:p>
    <w:bookmarkEnd w:id="39"/>
    <w:bookmarkEnd w:id="40"/>
    <w:bookmarkStart w:id="43" w:name="Xcb5e9e4d3580cff956a46775929b50ac730a6e9"/>
    <w:p>
      <w:pPr>
        <w:pStyle w:val="Heading1"/>
      </w:pPr>
      <w:r>
        <w:t xml:space="preserve">10. Phase 8: Rehabilitation and Scenario Optimization</w:t>
      </w:r>
    </w:p>
    <w:p>
      <w:pPr>
        <w:pStyle w:val="FirstParagraph"/>
      </w:pPr>
      <w:r>
        <w:t xml:space="preserve">Phase 8 transformed risk outputs into actionable, cell-level work plans. The planner generates candidate actions, estimates labor and materials, enforces budget constraints, and compares six scenarios including mandatory no action.</w:t>
      </w:r>
    </w:p>
    <w:bookmarkStart w:id="41" w:name="feasibility"/>
    <w:p>
      <w:pPr>
        <w:pStyle w:val="Heading2"/>
      </w:pPr>
      <w:r>
        <w:t xml:space="preserve">10.1 Feasibility</w:t>
      </w:r>
    </w:p>
    <w:p>
      <w:pPr>
        <w:pStyle w:val="FirstParagraph"/>
      </w:pPr>
      <w:r>
        <w:t xml:space="preserve">For scenario</w:t>
      </w:r>
      <w:r>
        <w:t xml:space="preserve"> </w:t>
      </w:r>
      <m:oMath>
        <m:r>
          <m:t>a</m:t>
        </m:r>
      </m:oMath>
      <w:r>
        <w:t xml:space="preserve">, feasibility requires:</w:t>
      </w:r>
    </w:p>
    <w:p>
      <w:pPr>
        <w:pStyle w:val="BodyText"/>
      </w:pPr>
      <m:oMathPara>
        <m:oMathParaPr>
          <m:jc m:val="center"/>
        </m:oMathParaPr>
        <m:oMath>
          <m:r>
            <m:t>C</m:t>
          </m:r>
          <m:d>
            <m:dPr>
              <m:begChr m:val="("/>
              <m:endChr m:val=")"/>
              <m:sepChr m:val=""/>
              <m:grow/>
            </m:dPr>
            <m:e>
              <m:r>
                <m:t>a</m:t>
              </m:r>
            </m:e>
          </m:d>
          <m:r>
            <m:rPr>
              <m:sty m:val="p"/>
            </m:rPr>
            <m:t>≤</m:t>
          </m:r>
          <m:r>
            <m:t>B</m:t>
          </m:r>
        </m:oMath>
      </m:oMathPara>
    </w:p>
    <w:p>
      <w:pPr>
        <w:pStyle w:val="FirstParagraph"/>
      </w:pPr>
      <w:r>
        <w:t xml:space="preserve">and:</w:t>
      </w:r>
    </w:p>
    <w:p>
      <w:pPr>
        <w:pStyle w:val="BodyText"/>
      </w:pPr>
      <m:oMathPara>
        <m:oMathParaPr>
          <m:jc m:val="center"/>
        </m:oMathParaPr>
        <m:oMath>
          <m:r>
            <m:t>L</m:t>
          </m:r>
          <m:d>
            <m:dPr>
              <m:begChr m:val="("/>
              <m:endChr m:val=")"/>
              <m:sepChr m:val=""/>
              <m:grow/>
            </m:dPr>
            <m:e>
              <m:r>
                <m:t>a</m:t>
              </m:r>
            </m:e>
          </m:d>
          <m:r>
            <m:rPr>
              <m:sty m:val="p"/>
            </m:rPr>
            <m:t>≤</m:t>
          </m:r>
          <m:sSub>
            <m:e>
              <m:r>
                <m:t>L</m:t>
              </m:r>
            </m:e>
            <m:sub>
              <m:r>
                <m:rPr>
                  <m:sty m:val="p"/>
                </m:rPr>
                <m:t>max</m:t>
              </m:r>
            </m:sub>
          </m:sSub>
        </m:oMath>
      </m:oMathPara>
    </w:p>
    <w:p>
      <w:pPr>
        <w:pStyle w:val="FirstParagraph"/>
      </w:pPr>
      <w:r>
        <w:t xml:space="preserve">where</w:t>
      </w:r>
      <w:r>
        <w:t xml:space="preserve"> </w:t>
      </w:r>
      <m:oMath>
        <m:r>
          <m:t>C</m:t>
        </m:r>
        <m:d>
          <m:dPr>
            <m:begChr m:val="("/>
            <m:endChr m:val=")"/>
            <m:sepChr m:val=""/>
            <m:grow/>
          </m:dPr>
          <m:e>
            <m:r>
              <m:t>a</m:t>
            </m:r>
          </m:e>
        </m:d>
      </m:oMath>
      <w:r>
        <w:t xml:space="preserve"> </w:t>
      </w:r>
      <w:r>
        <w:t xml:space="preserve">is total cost,</w:t>
      </w:r>
      <w:r>
        <w:t xml:space="preserve"> </w:t>
      </w:r>
      <m:oMath>
        <m:r>
          <m:t>B</m:t>
        </m:r>
      </m:oMath>
      <w:r>
        <w:t xml:space="preserve"> </w:t>
      </w:r>
      <w:r>
        <w:t xml:space="preserve">is available budget,</w:t>
      </w:r>
      <w:r>
        <w:t xml:space="preserve"> </w:t>
      </w:r>
      <m:oMath>
        <m:r>
          <m:t>L</m:t>
        </m:r>
        <m:d>
          <m:dPr>
            <m:begChr m:val="("/>
            <m:endChr m:val=")"/>
            <m:sepChr m:val=""/>
            <m:grow/>
          </m:dPr>
          <m:e>
            <m:r>
              <m:t>a</m:t>
            </m:r>
          </m:e>
        </m:d>
      </m:oMath>
      <w:r>
        <w:t xml:space="preserve"> </w:t>
      </w:r>
      <w:r>
        <w:t xml:space="preserve">is required labor, and</w:t>
      </w:r>
      <w:r>
        <w:t xml:space="preserve"> </w:t>
      </w:r>
      <m:oMath>
        <m:sSub>
          <m:e>
            <m:r>
              <m:t>L</m:t>
            </m:r>
          </m:e>
          <m:sub>
            <m:r>
              <m:rPr>
                <m:sty m:val="p"/>
              </m:rPr>
              <m:t>max</m:t>
            </m:r>
          </m:sub>
        </m:sSub>
      </m:oMath>
      <w:r>
        <w:t xml:space="preserve"> </w:t>
      </w:r>
      <w:r>
        <w:t xml:space="preserve">is available person-days.</w:t>
      </w:r>
    </w:p>
    <w:bookmarkEnd w:id="41"/>
    <w:bookmarkStart w:id="42" w:name="discounted-benefit-and-utility"/>
    <w:p>
      <w:pPr>
        <w:pStyle w:val="Heading2"/>
      </w:pPr>
      <w:r>
        <w:t xml:space="preserve">10.2 Discounted benefit and utility</w:t>
      </w:r>
    </w:p>
    <w:p>
      <w:pPr>
        <w:pStyle w:val="FirstParagraph"/>
      </w:pPr>
      <w:r>
        <w:t xml:space="preserve">The discounted production and intercrop benefit is:</w:t>
      </w:r>
    </w:p>
    <w:p>
      <w:pPr>
        <w:pStyle w:val="BodyText"/>
      </w:pPr>
      <m:oMathPara>
        <m:oMathParaPr>
          <m:jc m:val="center"/>
        </m:oMathParaPr>
        <m:oMath>
          <m:r>
            <m:t>P</m:t>
          </m:r>
          <m:r>
            <m:t>V</m:t>
          </m:r>
          <m:d>
            <m:dPr>
              <m:begChr m:val="("/>
              <m:endChr m:val=")"/>
              <m:sepChr m:val=""/>
              <m:grow/>
            </m:dPr>
            <m:e>
              <m:r>
                <m:t>a</m:t>
              </m:r>
            </m:e>
          </m:d>
          <m:r>
            <m:rPr>
              <m:sty m:val="p"/>
            </m:rPr>
            <m:t>=</m:t>
          </m:r>
          <m:nary>
            <m:naryPr>
              <m:chr m:val="∑"/>
              <m:limLoc m:val="undOvr"/>
              <m:subHide m:val="off"/>
              <m:supHide m:val="off"/>
            </m:naryPr>
            <m:sub>
              <m:r>
                <m:t>t</m:t>
              </m:r>
              <m:r>
                <m:rPr>
                  <m:sty m:val="p"/>
                </m:rPr>
                <m:t>=</m:t>
              </m:r>
              <m:r>
                <m:t>1</m:t>
              </m:r>
            </m:sub>
            <m:sup>
              <m:r>
                <m:t>T</m:t>
              </m:r>
            </m:sup>
            <m:e>
              <m:f>
                <m:fPr>
                  <m:type m:val="bar"/>
                </m:fPr>
                <m:num>
                  <m:sSubSup>
                    <m:e>
                      <m:r>
                        <m:t>Y</m:t>
                      </m:r>
                    </m:e>
                    <m:sub>
                      <m:r>
                        <m:t>t</m:t>
                      </m:r>
                    </m:sub>
                    <m:sup>
                      <m:r>
                        <m:rPr>
                          <m:nor/>
                          <m:sty m:val="p"/>
                        </m:rPr>
                        <m:t>coconut</m:t>
                      </m:r>
                    </m:sup>
                  </m:sSubSup>
                  <m:d>
                    <m:dPr>
                      <m:begChr m:val="("/>
                      <m:endChr m:val=")"/>
                      <m:sepChr m:val=""/>
                      <m:grow/>
                    </m:dPr>
                    <m:e>
                      <m:r>
                        <m:t>a</m:t>
                      </m:r>
                    </m:e>
                  </m:d>
                  <m:r>
                    <m:rPr>
                      <m:sty m:val="p"/>
                    </m:rPr>
                    <m:t>+</m:t>
                  </m:r>
                  <m:sSubSup>
                    <m:e>
                      <m:r>
                        <m:t>Y</m:t>
                      </m:r>
                    </m:e>
                    <m:sub>
                      <m:r>
                        <m:t>t</m:t>
                      </m:r>
                    </m:sub>
                    <m:sup>
                      <m:r>
                        <m:rPr>
                          <m:nor/>
                          <m:sty m:val="p"/>
                        </m:rPr>
                        <m:t>intercrop</m:t>
                      </m:r>
                    </m:sup>
                  </m:sSubSup>
                  <m:d>
                    <m:dPr>
                      <m:begChr m:val="("/>
                      <m:endChr m:val=")"/>
                      <m:sepChr m:val=""/>
                      <m:grow/>
                    </m:dPr>
                    <m:e>
                      <m:r>
                        <m:t>a</m:t>
                      </m:r>
                    </m:e>
                  </m:d>
                </m:num>
                <m:den>
                  <m:sSup>
                    <m:e>
                      <m:d>
                        <m:dPr>
                          <m:begChr m:val="("/>
                          <m:endChr m:val=")"/>
                          <m:sepChr m:val=""/>
                          <m:grow/>
                        </m:dPr>
                        <m:e>
                          <m:r>
                            <m:t>1</m:t>
                          </m:r>
                          <m:r>
                            <m:rPr>
                              <m:sty m:val="p"/>
                            </m:rPr>
                            <m:t>+</m:t>
                          </m:r>
                          <m:r>
                            <m:t>r</m:t>
                          </m:r>
                        </m:e>
                      </m:d>
                    </m:e>
                    <m:sup>
                      <m:r>
                        <m:t>t</m:t>
                      </m:r>
                      <m:r>
                        <m:rPr>
                          <m:sty m:val="p"/>
                        </m:rPr>
                        <m:t>−</m:t>
                      </m:r>
                      <m:r>
                        <m:t>1</m:t>
                      </m:r>
                    </m:sup>
                  </m:sSup>
                </m:den>
              </m:f>
            </m:e>
          </m:nary>
        </m:oMath>
      </m:oMathPara>
    </w:p>
    <w:p>
      <w:pPr>
        <w:pStyle w:val="FirstParagraph"/>
      </w:pPr>
      <w:r>
        <w:t xml:space="preserve">Comparative utility is represented as:</w:t>
      </w:r>
    </w:p>
    <w:p>
      <w:pPr>
        <w:pStyle w:val="BodyText"/>
      </w:pPr>
      <m:oMathPara>
        <m:oMathParaPr>
          <m:jc m:val="center"/>
        </m:oMathParaPr>
        <m:oMath>
          <m:r>
            <m:t>U</m:t>
          </m:r>
          <m:d>
            <m:dPr>
              <m:begChr m:val="("/>
              <m:endChr m:val=")"/>
              <m:sepChr m:val=""/>
              <m:grow/>
            </m:dPr>
            <m:e>
              <m:r>
                <m:t>a</m:t>
              </m:r>
            </m:e>
          </m:d>
          <m:r>
            <m:rPr>
              <m:sty m:val="p"/>
            </m:rPr>
            <m:t>=</m:t>
          </m:r>
          <m:r>
            <m:t>P</m:t>
          </m:r>
          <m:r>
            <m:t>V</m:t>
          </m:r>
          <m:d>
            <m:dPr>
              <m:begChr m:val="("/>
              <m:endChr m:val=")"/>
              <m:sepChr m:val=""/>
              <m:grow/>
            </m:dPr>
            <m:e>
              <m:r>
                <m:t>a</m:t>
              </m:r>
            </m:e>
          </m:d>
          <m:r>
            <m:rPr>
              <m:sty m:val="p"/>
            </m:rPr>
            <m:t>−</m:t>
          </m:r>
          <m:r>
            <m:t>C</m:t>
          </m:r>
          <m:d>
            <m:dPr>
              <m:begChr m:val="("/>
              <m:endChr m:val=")"/>
              <m:sepChr m:val=""/>
              <m:grow/>
            </m:dPr>
            <m:e>
              <m:r>
                <m:t>a</m:t>
              </m:r>
            </m:e>
          </m:d>
          <m:r>
            <m:rPr>
              <m:sty m:val="p"/>
            </m:rPr>
            <m:t>−</m:t>
          </m:r>
          <m:r>
            <m:t>λ</m:t>
          </m:r>
          <m:r>
            <m:t> </m:t>
          </m:r>
          <m:r>
            <m:t>P</m:t>
          </m:r>
          <m:r>
            <m:t>​</m:t>
          </m:r>
          <m:d>
            <m:dPr>
              <m:begChr m:val="("/>
              <m:endChr m:val=")"/>
              <m:sepChr m:val=""/>
              <m:grow/>
            </m:dPr>
            <m:e>
              <m:r>
                <m:rPr>
                  <m:nor/>
                  <m:sty m:val="p"/>
                </m:rPr>
                <m:t>severe loss</m:t>
              </m:r>
              <m:r>
                <m:rPr>
                  <m:sty m:val="p"/>
                </m:rPr>
                <m:t>∣</m:t>
              </m:r>
              <m:r>
                <m:t>a</m:t>
              </m:r>
            </m:e>
          </m:d>
        </m:oMath>
      </m:oMathPara>
    </w:p>
    <w:p>
      <w:pPr>
        <w:pStyle w:val="FirstParagraph"/>
      </w:pPr>
      <w:r>
        <w:t xml:space="preserve">where</w:t>
      </w:r>
      <w:r>
        <w:t xml:space="preserve"> </w:t>
      </w:r>
      <m:oMath>
        <m:r>
          <m:t>λ</m:t>
        </m:r>
      </m:oMath>
      <w:r>
        <w:t xml:space="preserve"> </w:t>
      </w:r>
      <w:r>
        <w:t xml:space="preserve">is the farmer’s risk-aversion coefficient.</w:t>
      </w:r>
    </w:p>
    <w:p>
      <w:pPr>
        <w:pStyle w:val="BodyText"/>
      </w:pPr>
      <w:r>
        <w:t xml:space="preserve">The selected scenario is:</w:t>
      </w:r>
    </w:p>
    <w:p>
      <w:pPr>
        <w:pStyle w:val="BodyText"/>
      </w:pPr>
      <m:oMathPara>
        <m:oMathParaPr>
          <m:jc m:val="center"/>
        </m:oMathParaPr>
        <m:oMath>
          <m:sSub>
            <m:e>
              <m:r>
                <m:t>a</m:t>
              </m:r>
            </m:e>
            <m:sub>
              <m:r>
                <m:rPr>
                  <m:sty m:val="p"/>
                </m:rPr>
                <m:t>o</m:t>
              </m:r>
              <m:r>
                <m:rPr>
                  <m:sty m:val="p"/>
                </m:rPr>
                <m:t>p</m:t>
              </m:r>
              <m:r>
                <m:rPr>
                  <m:sty m:val="p"/>
                </m:rPr>
                <m:t>t</m:t>
              </m:r>
            </m:sub>
          </m:sSub>
          <m:r>
            <m:rPr>
              <m:sty m:val="p"/>
            </m:rPr>
            <m:t>=</m:t>
          </m:r>
          <m:limLow>
            <m:e>
              <m:r>
                <m:rPr>
                  <m:sty m:val="p"/>
                </m:rPr>
                <m:t>arg max</m:t>
              </m:r>
            </m:e>
            <m:lim>
              <m:r>
                <m:t>a</m:t>
              </m:r>
              <m:r>
                <m:rPr>
                  <m:sty m:val="p"/>
                </m:rPr>
                <m:t>∈</m:t>
              </m:r>
              <m:sSub>
                <m:e>
                  <m:r>
                    <m:rPr>
                      <m:sty m:val="p"/>
                      <m:scr m:val="script"/>
                    </m:rPr>
                    <m:t>A</m:t>
                  </m:r>
                </m:e>
                <m:sub>
                  <m:r>
                    <m:rPr>
                      <m:nor/>
                      <m:sty m:val="p"/>
                    </m:rPr>
                    <m:t>feasible</m:t>
                  </m:r>
                </m:sub>
              </m:sSub>
            </m:lim>
          </m:limLow>
          <m:r>
            <m:t>U</m:t>
          </m:r>
          <m:d>
            <m:dPr>
              <m:begChr m:val="("/>
              <m:endChr m:val=")"/>
              <m:sepChr m:val=""/>
              <m:grow/>
            </m:dPr>
            <m:e>
              <m:r>
                <m:t>a</m:t>
              </m:r>
            </m:e>
          </m:d>
        </m:oMath>
      </m:oMathPara>
    </w:p>
    <w:p>
      <w:pPr>
        <w:pStyle w:val="FirstParagraph"/>
      </w:pPr>
      <w:r>
        <w:t xml:space="preserve">No action remains in</w:t>
      </w:r>
      <w:r>
        <w:t xml:space="preserve"> </w:t>
      </w:r>
      <m:oMath>
        <m:sSub>
          <m:e>
            <m:r>
              <m:rPr>
                <m:sty m:val="p"/>
                <m:scr m:val="script"/>
              </m:rPr>
              <m:t>A</m:t>
            </m:r>
          </m:e>
          <m:sub>
            <m:r>
              <m:rPr>
                <m:nor/>
                <m:sty m:val="p"/>
              </m:rPr>
              <m:t>feasible</m:t>
            </m:r>
          </m:sub>
        </m:sSub>
      </m:oMath>
      <w:r>
        <w:t xml:space="preserve"> </w:t>
      </w:r>
      <w:r>
        <w:t xml:space="preserve">as the zero-cost comparator. Predicted damage triggers preparation and inspection, not irreversible treatment.</w:t>
      </w:r>
    </w:p>
    <w:bookmarkEnd w:id="42"/>
    <w:bookmarkEnd w:id="43"/>
    <w:bookmarkStart w:id="47" w:name="X9353c8f40d94b33d7229c341a35e73c92a8b60c"/>
    <w:p>
      <w:pPr>
        <w:pStyle w:val="Heading1"/>
      </w:pPr>
      <w:r>
        <w:t xml:space="preserve">11. Phase 9: Integrated Decision-Support Network</w:t>
      </w:r>
    </w:p>
    <w:p>
      <w:pPr>
        <w:pStyle w:val="FirstParagraph"/>
      </w:pPr>
      <w:r>
        <w:t xml:space="preserve">Phase 9 created the orchestration layer. It does not recalculate or overwrite upstream engines. Instead, it validates compatible farm and record identifiers, assembles component summaries, records failures, and generates deterministic, evidence-linked recommendations.</w:t>
      </w:r>
    </w:p>
    <w:bookmarkStart w:id="44" w:name="dependency-graph"/>
    <w:p>
      <w:pPr>
        <w:pStyle w:val="Heading2"/>
      </w:pPr>
      <w:r>
        <w:t xml:space="preserve">11.1 Dependency graph</w:t>
      </w:r>
    </w:p>
    <w:p>
      <w:pPr>
        <w:pStyle w:val="FirstParagraph"/>
      </w:pPr>
      <w:r>
        <w:t xml:space="preserve">The mandatory root is the Phase 4 production forecast. Optional nodes are the Bayesian posterior, pest run, intercropping run, and rehabilitation plan.</w:t>
      </w:r>
    </w:p>
    <w:p>
      <w:pPr>
        <w:pStyle w:val="SourceCode"/>
      </w:pPr>
      <w:r>
        <w:rPr>
          <w:rStyle w:val="VerbatimChar"/>
        </w:rPr>
        <w:t xml:space="preserve">Production forecast</w:t>
      </w:r>
      <w:r>
        <w:br/>
      </w:r>
      <w:r>
        <w:rPr>
          <w:rStyle w:val="VerbatimChar"/>
        </w:rPr>
        <w:t xml:space="preserve">   ├── Bayesian posterior</w:t>
      </w:r>
      <w:r>
        <w:br/>
      </w:r>
      <w:r>
        <w:rPr>
          <w:rStyle w:val="VerbatimChar"/>
        </w:rPr>
        <w:t xml:space="preserve">   ├── Pest assessment</w:t>
      </w:r>
      <w:r>
        <w:br/>
      </w:r>
      <w:r>
        <w:rPr>
          <w:rStyle w:val="VerbatimChar"/>
        </w:rPr>
        <w:t xml:space="preserve">   ├── Intercropping assessment</w:t>
      </w:r>
      <w:r>
        <w:br/>
      </w:r>
      <w:r>
        <w:rPr>
          <w:rStyle w:val="VerbatimChar"/>
        </w:rPr>
        <w:t xml:space="preserve">   └── Rehabilitation plan</w:t>
      </w:r>
      <w:r>
        <w:br/>
      </w:r>
      <w:r>
        <w:rPr>
          <w:rStyle w:val="VerbatimChar"/>
        </w:rPr>
        <w:t xml:space="preserve">            ↓</w:t>
      </w:r>
      <w:r>
        <w:br/>
      </w:r>
      <w:r>
        <w:rPr>
          <w:rStyle w:val="VerbatimChar"/>
        </w:rPr>
        <w:t xml:space="preserve">Integrated decision-support record</w:t>
      </w:r>
    </w:p>
    <w:bookmarkEnd w:id="44"/>
    <w:bookmarkStart w:id="45" w:name="data-completeness"/>
    <w:p>
      <w:pPr>
        <w:pStyle w:val="Heading2"/>
      </w:pPr>
      <w:r>
        <w:t xml:space="preserve">11.2 Data completeness</w:t>
      </w:r>
    </w:p>
    <w:p>
      <w:pPr>
        <w:pStyle w:val="FirstParagraph"/>
      </w:pPr>
      <w:r>
        <w:t xml:space="preserve">For a requested component set</w:t>
      </w:r>
      <w:r>
        <w:t xml:space="preserve"> </w:t>
      </w:r>
      <m:oMath>
        <m:r>
          <m:rPr>
            <m:sty m:val="p"/>
            <m:scr m:val="script"/>
          </m:rPr>
          <m:t>R</m:t>
        </m:r>
      </m:oMath>
      <w:r>
        <w:t xml:space="preserve">:</w:t>
      </w:r>
    </w:p>
    <w:p>
      <w:pPr>
        <w:pStyle w:val="BodyText"/>
      </w:pPr>
      <m:oMathPara>
        <m:oMathParaPr>
          <m:jc m:val="center"/>
        </m:oMathParaPr>
        <m:oMath>
          <m:sSub>
            <m:e>
              <m:r>
                <m:t>C</m:t>
              </m:r>
            </m:e>
            <m:sub>
              <m:r>
                <m:rPr>
                  <m:nor/>
                  <m:sty m:val="p"/>
                </m:rPr>
                <m:t>data</m:t>
              </m:r>
            </m:sub>
          </m:sSub>
          <m:r>
            <m:rPr>
              <m:sty m:val="p"/>
            </m:rPr>
            <m:t>=</m:t>
          </m:r>
          <m:f>
            <m:fPr>
              <m:type m:val="bar"/>
            </m:fPr>
            <m:num>
              <m:sSub>
                <m:e>
                  <m:r>
                    <m:t>N</m:t>
                  </m:r>
                </m:e>
                <m:sub>
                  <m:r>
                    <m:rPr>
                      <m:nor/>
                      <m:sty m:val="p"/>
                    </m:rPr>
                    <m:t>succeeded requested</m:t>
                  </m:r>
                </m:sub>
              </m:sSub>
            </m:num>
            <m:den>
              <m:sSub>
                <m:e>
                  <m:r>
                    <m:t>N</m:t>
                  </m:r>
                </m:e>
                <m:sub>
                  <m:r>
                    <m:rPr>
                      <m:nor/>
                      <m:sty m:val="p"/>
                    </m:rPr>
                    <m:t>requested</m:t>
                  </m:r>
                </m:sub>
              </m:sSub>
            </m:den>
          </m:f>
        </m:oMath>
      </m:oMathPara>
    </w:p>
    <w:p>
      <w:pPr>
        <w:pStyle w:val="FirstParagraph"/>
      </w:pPr>
      <w:r>
        <w:t xml:space="preserve">A partial result remains useful under the</w:t>
      </w:r>
      <w:r>
        <w:t xml:space="preserve"> </w:t>
      </w:r>
      <w:r>
        <w:rPr>
          <w:rStyle w:val="VerbatimChar"/>
        </w:rPr>
        <w:t xml:space="preserve">continue_optional</w:t>
      </w:r>
      <w:r>
        <w:t xml:space="preserve"> </w:t>
      </w:r>
      <w:r>
        <w:t xml:space="preserve">policy, but is explicitly labeled. Under the</w:t>
      </w:r>
      <w:r>
        <w:t xml:space="preserve"> </w:t>
      </w:r>
      <w:r>
        <w:rPr>
          <w:rStyle w:val="VerbatimChar"/>
        </w:rPr>
        <w:t xml:space="preserve">strict</w:t>
      </w:r>
      <w:r>
        <w:t xml:space="preserve"> </w:t>
      </w:r>
      <w:r>
        <w:t xml:space="preserve">policy, an invalid requested dependency terminates composition.</w:t>
      </w:r>
    </w:p>
    <w:bookmarkEnd w:id="45"/>
    <w:bookmarkStart w:id="46" w:name="recommendation-traceability"/>
    <w:p>
      <w:pPr>
        <w:pStyle w:val="Heading2"/>
      </w:pPr>
      <w:r>
        <w:t xml:space="preserve">11.3 Recommendation traceability</w:t>
      </w:r>
    </w:p>
    <w:p>
      <w:pPr>
        <w:pStyle w:val="FirstParagraph"/>
      </w:pPr>
      <w:r>
        <w:t xml:space="preserve">A recommendation</w:t>
      </w:r>
      <w:r>
        <w:t xml:space="preserve"> </w:t>
      </w:r>
      <m:oMath>
        <m:r>
          <m:t>r</m:t>
        </m:r>
      </m:oMath>
      <w:r>
        <w:t xml:space="preserve"> </w:t>
      </w:r>
      <w:r>
        <w:t xml:space="preserve">is stored with evidence edges:</w:t>
      </w:r>
    </w:p>
    <w:p>
      <w:pPr>
        <w:pStyle w:val="BodyText"/>
      </w:pPr>
      <m:oMathPara>
        <m:oMathParaPr>
          <m:jc m:val="center"/>
        </m:oMathParaPr>
        <m:oMath>
          <m:r>
            <m:t>r</m:t>
          </m:r>
          <m:r>
            <m:rPr>
              <m:sty m:val="p"/>
            </m:rPr>
            <m:t>→</m:t>
          </m:r>
          <m:sSubSup>
            <m:e>
              <m:d>
                <m:dPr>
                  <m:begChr m:val="{"/>
                  <m:endChr m:val="}"/>
                  <m:sepChr m:val=""/>
                  <m:grow/>
                </m:dPr>
                <m:e>
                  <m:d>
                    <m:dPr>
                      <m:begChr m:val="("/>
                      <m:endChr m:val=")"/>
                      <m:sepChr m:val=""/>
                      <m:grow/>
                    </m:dPr>
                    <m:e>
                      <m:sSub>
                        <m:e>
                          <m:r>
                            <m:t>e</m:t>
                          </m:r>
                        </m:e>
                        <m:sub>
                          <m:r>
                            <m:t>i</m:t>
                          </m:r>
                        </m:sub>
                      </m:sSub>
                      <m:r>
                        <m:rPr>
                          <m:sty m:val="p"/>
                        </m:rPr>
                        <m:t>,</m:t>
                      </m:r>
                      <m:sSub>
                        <m:e>
                          <m:r>
                            <m:rPr>
                              <m:nor/>
                              <m:sty m:val="p"/>
                            </m:rPr>
                            <m:t>record</m:t>
                          </m:r>
                        </m:e>
                        <m:sub>
                          <m:r>
                            <m:t>i</m:t>
                          </m:r>
                        </m:sub>
                      </m:sSub>
                      <m:r>
                        <m:rPr>
                          <m:sty m:val="p"/>
                        </m:rPr>
                        <m:t>,</m:t>
                      </m:r>
                      <m:sSub>
                        <m:e>
                          <m:r>
                            <m:rPr>
                              <m:nor/>
                              <m:sty m:val="p"/>
                            </m:rPr>
                            <m:t>field</m:t>
                          </m:r>
                        </m:e>
                        <m:sub>
                          <m:r>
                            <m:t>i</m:t>
                          </m:r>
                        </m:sub>
                      </m:sSub>
                      <m:r>
                        <m:rPr>
                          <m:sty m:val="p"/>
                        </m:rPr>
                        <m:t>,</m:t>
                      </m:r>
                      <m:sSub>
                        <m:e>
                          <m:r>
                            <m:t>V</m:t>
                          </m:r>
                        </m:e>
                        <m:sub>
                          <m:r>
                            <m:t>M</m:t>
                          </m:r>
                          <m:r>
                            <m:rPr>
                              <m:sty m:val="p"/>
                            </m:rPr>
                            <m:t>,</m:t>
                          </m:r>
                          <m:r>
                            <m:t>i</m:t>
                          </m:r>
                        </m:sub>
                      </m:sSub>
                      <m:r>
                        <m:rPr>
                          <m:sty m:val="p"/>
                        </m:rPr>
                        <m:t>,</m:t>
                      </m:r>
                      <m:sSub>
                        <m:e>
                          <m:r>
                            <m:t>V</m:t>
                          </m:r>
                        </m:e>
                        <m:sub>
                          <m:r>
                            <m:t>P</m:t>
                          </m:r>
                          <m:r>
                            <m:rPr>
                              <m:sty m:val="p"/>
                            </m:rPr>
                            <m:t>,</m:t>
                          </m:r>
                          <m:r>
                            <m:t>i</m:t>
                          </m:r>
                        </m:sub>
                      </m:sSub>
                    </m:e>
                  </m:d>
                </m:e>
              </m:d>
            </m:e>
            <m:sub>
              <m:r>
                <m:t>i</m:t>
              </m:r>
              <m:r>
                <m:rPr>
                  <m:sty m:val="p"/>
                </m:rPr>
                <m:t>=</m:t>
              </m:r>
              <m:r>
                <m:t>1</m:t>
              </m:r>
            </m:sub>
            <m:sup>
              <m:r>
                <m:t>n</m:t>
              </m:r>
            </m:sup>
          </m:sSubSup>
        </m:oMath>
      </m:oMathPara>
    </w:p>
    <w:p>
      <w:pPr>
        <w:pStyle w:val="FirstParagraph"/>
      </w:pPr>
      <w:r>
        <w:t xml:space="preserve">This structure permits the user to identify the exact source record, source field, engine version, and parameter version behind each recommendation.</w:t>
      </w:r>
    </w:p>
    <w:bookmarkEnd w:id="46"/>
    <w:bookmarkEnd w:id="47"/>
    <w:bookmarkStart w:id="53" w:name="Xc8e2d8d1f27c9ce04ef87561c44c385e49d7203"/>
    <w:p>
      <w:pPr>
        <w:pStyle w:val="Heading1"/>
      </w:pPr>
      <w:r>
        <w:t xml:space="preserve">12. Phase 10: CoCO-PILOT and Formal Report Generation</w:t>
      </w:r>
    </w:p>
    <w:p>
      <w:pPr>
        <w:pStyle w:val="FirstParagraph"/>
      </w:pPr>
      <w:r>
        <w:t xml:space="preserve">Phase 10 adds a grounded narrative layer and deterministic formal reporting. The analytical system remains functional even when no external AI provider is configured.</w:t>
      </w:r>
    </w:p>
    <w:bookmarkStart w:id="48" w:name="context-assembly-and-privacy-boundary"/>
    <w:p>
      <w:pPr>
        <w:pStyle w:val="Heading2"/>
      </w:pPr>
      <w:r>
        <w:t xml:space="preserve">12.1 Context assembly and privacy boundary</w:t>
      </w:r>
    </w:p>
    <w:p>
      <w:pPr>
        <w:pStyle w:val="FirstParagraph"/>
      </w:pPr>
      <w:r>
        <w:t xml:space="preserve">CoCO-PILOT loads a saved Phase 9 decision-support record and its linked rehabilitation scenarios. Before any optional provider call, the context is recursively redacted.</w:t>
      </w:r>
    </w:p>
    <w:p>
      <w:pPr>
        <w:pStyle w:val="BodyText"/>
      </w:pPr>
      <w:r>
        <w:t xml:space="preserve">Let</w:t>
      </w:r>
      <w:r>
        <w:t xml:space="preserve"> </w:t>
      </w:r>
      <m:oMath>
        <m:r>
          <m:t>J</m:t>
        </m:r>
      </m:oMath>
      <w:r>
        <w:t xml:space="preserve"> </w:t>
      </w:r>
      <w:r>
        <w:t xml:space="preserve">be the structured context and</w:t>
      </w:r>
      <w:r>
        <w:t xml:space="preserve"> </w:t>
      </w:r>
      <m:oMath>
        <m:sSub>
          <m:e>
            <m:r>
              <m:rPr>
                <m:sty m:val="p"/>
                <m:scr m:val="script"/>
              </m:rPr>
              <m:t>K</m:t>
            </m:r>
          </m:e>
          <m:sub>
            <m:r>
              <m:t>P</m:t>
            </m:r>
            <m:r>
              <m:t>I</m:t>
            </m:r>
            <m:r>
              <m:t>I</m:t>
            </m:r>
          </m:sub>
        </m:sSub>
      </m:oMath>
      <w:r>
        <w:t xml:space="preserve"> </w:t>
      </w:r>
      <w:r>
        <w:t xml:space="preserve">the prohibited-key set. The redaction operator is:</w:t>
      </w:r>
    </w:p>
    <w:p>
      <w:pPr>
        <w:pStyle w:val="BodyText"/>
      </w:pPr>
      <m:oMathPara>
        <m:oMathParaPr>
          <m:jc m:val="center"/>
        </m:oMathParaPr>
        <m:oMath>
          <m:r>
            <m:rPr>
              <m:sty m:val="p"/>
              <m:scr m:val="script"/>
            </m:rPr>
            <m:t>R</m:t>
          </m:r>
          <m:d>
            <m:dPr>
              <m:begChr m:val="("/>
              <m:endChr m:val=")"/>
              <m:sepChr m:val=""/>
              <m:grow/>
            </m:dPr>
            <m:e>
              <m:r>
                <m:t>J</m:t>
              </m:r>
            </m:e>
          </m:d>
          <m:r>
            <m:rPr>
              <m:sty m:val="p"/>
            </m:rPr>
            <m:t>=</m:t>
          </m:r>
          <m:r>
            <m:rPr>
              <m:sty m:val="p"/>
            </m:rPr>
            <m:t>RemoveKeys</m:t>
          </m:r>
          <m:r>
            <m:t>​</m:t>
          </m:r>
          <m:d>
            <m:dPr>
              <m:begChr m:val="("/>
              <m:endChr m:val=")"/>
              <m:sepChr m:val=""/>
              <m:grow/>
            </m:dPr>
            <m:e>
              <m:r>
                <m:t>J</m:t>
              </m:r>
              <m:r>
                <m:rPr>
                  <m:sty m:val="p"/>
                </m:rPr>
                <m:t>,</m:t>
              </m:r>
              <m:sSub>
                <m:e>
                  <m:r>
                    <m:rPr>
                      <m:sty m:val="p"/>
                      <m:scr m:val="script"/>
                    </m:rPr>
                    <m:t>K</m:t>
                  </m:r>
                </m:e>
                <m:sub>
                  <m:r>
                    <m:t>P</m:t>
                  </m:r>
                  <m:r>
                    <m:t>I</m:t>
                  </m:r>
                  <m:r>
                    <m:t>I</m:t>
                  </m:r>
                </m:sub>
              </m:sSub>
            </m:e>
          </m:d>
        </m:oMath>
      </m:oMathPara>
    </w:p>
    <w:p>
      <w:pPr>
        <w:pStyle w:val="FirstParagraph"/>
      </w:pPr>
      <w:r>
        <w:t xml:space="preserve">Email and phone patterns are replaced with redaction markers. Restricted source documents and raw farmer records are excluded from the source manifest.</w:t>
      </w:r>
    </w:p>
    <w:p>
      <w:pPr>
        <w:pStyle w:val="BodyText"/>
      </w:pPr>
      <w:r>
        <w:t xml:space="preserve">The public context therefore satisfies:</w:t>
      </w:r>
    </w:p>
    <w:p>
      <w:pPr>
        <w:pStyle w:val="BodyText"/>
      </w:pPr>
      <m:oMathPara>
        <m:oMathParaPr>
          <m:jc m:val="center"/>
        </m:oMathParaPr>
        <m:oMath>
          <m:r>
            <m:rPr>
              <m:nor/>
              <m:sty m:val="p"/>
            </m:rPr>
            <m:t>farmer names included</m:t>
          </m:r>
          <m:r>
            <m:rPr>
              <m:sty m:val="p"/>
            </m:rPr>
            <m:t>=</m:t>
          </m:r>
          <m:r>
            <m:rPr>
              <m:nor/>
              <m:sty m:val="p"/>
            </m:rPr>
            <m:t>false</m:t>
          </m:r>
        </m:oMath>
      </m:oMathPara>
    </w:p>
    <w:p>
      <w:pPr>
        <w:pStyle w:val="FirstParagraph"/>
      </w:pPr>
      <m:oMathPara>
        <m:oMathParaPr>
          <m:jc m:val="center"/>
        </m:oMathParaPr>
        <m:oMath>
          <m:r>
            <m:rPr>
              <m:nor/>
              <m:sty m:val="p"/>
            </m:rPr>
            <m:t>raw farmer records included</m:t>
          </m:r>
          <m:r>
            <m:rPr>
              <m:sty m:val="p"/>
            </m:rPr>
            <m:t>=</m:t>
          </m:r>
          <m:r>
            <m:rPr>
              <m:nor/>
              <m:sty m:val="p"/>
            </m:rPr>
            <m:t>false</m:t>
          </m:r>
        </m:oMath>
      </m:oMathPara>
    </w:p>
    <w:bookmarkEnd w:id="48"/>
    <w:bookmarkStart w:id="49" w:name="deterministic-narrative-modes"/>
    <w:p>
      <w:pPr>
        <w:pStyle w:val="Heading2"/>
      </w:pPr>
      <w:r>
        <w:t xml:space="preserve">12.2 Deterministic narrative modes</w:t>
      </w:r>
    </w:p>
    <w:p>
      <w:pPr>
        <w:pStyle w:val="FirstParagraph"/>
      </w:pPr>
      <w:r>
        <w:t xml:space="preserve">The service supports:</w:t>
      </w:r>
    </w:p>
    <w:p>
      <w:pPr>
        <w:pStyle w:val="Compact"/>
        <w:numPr>
          <w:ilvl w:val="0"/>
          <w:numId w:val="1006"/>
        </w:numPr>
      </w:pPr>
      <w:r>
        <w:t xml:space="preserve">result explanation;</w:t>
      </w:r>
    </w:p>
    <w:p>
      <w:pPr>
        <w:pStyle w:val="Compact"/>
        <w:numPr>
          <w:ilvl w:val="0"/>
          <w:numId w:val="1006"/>
        </w:numPr>
      </w:pPr>
      <w:r>
        <w:t xml:space="preserve">six-scenario comparison;</w:t>
      </w:r>
    </w:p>
    <w:p>
      <w:pPr>
        <w:pStyle w:val="Compact"/>
        <w:numPr>
          <w:ilvl w:val="0"/>
          <w:numId w:val="1006"/>
        </w:numPr>
      </w:pPr>
      <w:r>
        <w:t xml:space="preserve">selected-scenario work planning;</w:t>
      </w:r>
    </w:p>
    <w:p>
      <w:pPr>
        <w:pStyle w:val="Compact"/>
        <w:numPr>
          <w:ilvl w:val="0"/>
          <w:numId w:val="1006"/>
        </w:numPr>
      </w:pPr>
      <w:r>
        <w:t xml:space="preserve">risk summary;</w:t>
      </w:r>
    </w:p>
    <w:p>
      <w:pPr>
        <w:pStyle w:val="Compact"/>
        <w:numPr>
          <w:ilvl w:val="0"/>
          <w:numId w:val="1006"/>
        </w:numPr>
      </w:pPr>
      <w:r>
        <w:t xml:space="preserve">uncertainty explanation;</w:t>
      </w:r>
    </w:p>
    <w:p>
      <w:pPr>
        <w:pStyle w:val="Compact"/>
        <w:numPr>
          <w:ilvl w:val="0"/>
          <w:numId w:val="1006"/>
        </w:numPr>
      </w:pPr>
      <w:r>
        <w:t xml:space="preserve">formal report narrative.</w:t>
      </w:r>
    </w:p>
    <w:p>
      <w:pPr>
        <w:pStyle w:val="FirstParagraph"/>
      </w:pPr>
      <w:r>
        <w:t xml:space="preserve">The deterministic response is generated from stored numeric values and source fields. A scenario-comparison response includes all six saved scenario records when a rehabilitation plan is linked. A work-plan response includes only actions referenced by the selected feasible scenario.</w:t>
      </w:r>
    </w:p>
    <w:bookmarkEnd w:id="49"/>
    <w:bookmarkStart w:id="50" w:name="optional-ai-rewrite-safety"/>
    <w:p>
      <w:pPr>
        <w:pStyle w:val="Heading2"/>
      </w:pPr>
      <w:r>
        <w:t xml:space="preserve">12.3 Optional AI rewrite safety</w:t>
      </w:r>
    </w:p>
    <w:p>
      <w:pPr>
        <w:pStyle w:val="FirstParagraph"/>
      </w:pPr>
      <w:r>
        <w:t xml:space="preserve">When Gemini is configured, it may rewrite the deterministic text for clarity. The rewrite is accepted only when every numeric token in the candidate response already exists in the deterministic source text.</w:t>
      </w:r>
    </w:p>
    <w:p>
      <w:pPr>
        <w:pStyle w:val="BodyText"/>
      </w:pPr>
      <w:r>
        <w:t xml:space="preserve">Let</w:t>
      </w:r>
      <w:r>
        <w:t xml:space="preserve"> </w:t>
      </w:r>
      <m:oMath>
        <m:r>
          <m:t>N</m:t>
        </m:r>
        <m:d>
          <m:dPr>
            <m:begChr m:val="("/>
            <m:endChr m:val=")"/>
            <m:sepChr m:val=""/>
            <m:grow/>
          </m:dPr>
          <m:e>
            <m:r>
              <m:t>x</m:t>
            </m:r>
          </m:e>
        </m:d>
      </m:oMath>
      <w:r>
        <w:t xml:space="preserve"> </w:t>
      </w:r>
      <w:r>
        <w:t xml:space="preserve">be the set of numeric tokens in text</w:t>
      </w:r>
      <w:r>
        <w:t xml:space="preserve"> </w:t>
      </w:r>
      <m:oMath>
        <m:r>
          <m:t>x</m:t>
        </m:r>
      </m:oMath>
      <w:r>
        <w:t xml:space="preserve">. The validation rule is:</w:t>
      </w:r>
    </w:p>
    <w:p>
      <w:pPr>
        <w:pStyle w:val="BodyText"/>
      </w:pPr>
      <m:oMathPara>
        <m:oMathParaPr>
          <m:jc m:val="center"/>
        </m:oMathParaPr>
        <m:oMath>
          <m:r>
            <m:t>N</m:t>
          </m:r>
          <m:r>
            <m:t>​</m:t>
          </m:r>
          <m:d>
            <m:dPr>
              <m:begChr m:val="("/>
              <m:endChr m:val=")"/>
              <m:sepChr m:val=""/>
              <m:grow/>
            </m:dPr>
            <m:e>
              <m:sSub>
                <m:e>
                  <m:r>
                    <m:t>T</m:t>
                  </m:r>
                </m:e>
                <m:sub>
                  <m:r>
                    <m:t>A</m:t>
                  </m:r>
                  <m:r>
                    <m:t>I</m:t>
                  </m:r>
                </m:sub>
              </m:sSub>
            </m:e>
          </m:d>
          <m:r>
            <m:rPr>
              <m:sty m:val="p"/>
            </m:rPr>
            <m:t>⊆</m:t>
          </m:r>
          <m:r>
            <m:t>N</m:t>
          </m:r>
          <m:r>
            <m:t>​</m:t>
          </m:r>
          <m:d>
            <m:dPr>
              <m:begChr m:val="("/>
              <m:endChr m:val=")"/>
              <m:sepChr m:val=""/>
              <m:grow/>
            </m:dPr>
            <m:e>
              <m:sSub>
                <m:e>
                  <m:r>
                    <m:t>T</m:t>
                  </m:r>
                </m:e>
                <m:sub>
                  <m:r>
                    <m:t>d</m:t>
                  </m:r>
                  <m:r>
                    <m:t>e</m:t>
                  </m:r>
                  <m:r>
                    <m:t>t</m:t>
                  </m:r>
                </m:sub>
              </m:sSub>
            </m:e>
          </m:d>
        </m:oMath>
      </m:oMathPara>
    </w:p>
    <w:p>
      <w:pPr>
        <w:pStyle w:val="FirstParagraph"/>
      </w:pPr>
      <w:r>
        <w:t xml:space="preserve">The answer is rejected when it introduces dosage patterns or unsupported numeric values. On provider failure or validation failure:</w:t>
      </w:r>
    </w:p>
    <w:p>
      <w:pPr>
        <w:pStyle w:val="BodyText"/>
      </w:pPr>
      <m:oMathPara>
        <m:oMathParaPr>
          <m:jc m:val="center"/>
        </m:oMathParaPr>
        <m:oMath>
          <m:sSub>
            <m:e>
              <m:r>
                <m:t>T</m:t>
              </m:r>
            </m:e>
            <m:sub>
              <m:r>
                <m:t>f</m:t>
              </m:r>
              <m:r>
                <m:t>i</m:t>
              </m:r>
              <m:r>
                <m:t>n</m:t>
              </m:r>
              <m:r>
                <m:t>a</m:t>
              </m:r>
              <m:r>
                <m:t>l</m:t>
              </m:r>
            </m:sub>
          </m:sSub>
          <m:r>
            <m:rPr>
              <m:sty m:val="p"/>
            </m:rPr>
            <m:t>=</m:t>
          </m:r>
          <m:sSub>
            <m:e>
              <m:r>
                <m:t>T</m:t>
              </m:r>
            </m:e>
            <m:sub>
              <m:r>
                <m:t>d</m:t>
              </m:r>
              <m:r>
                <m:t>e</m:t>
              </m:r>
              <m:r>
                <m:t>t</m:t>
              </m:r>
            </m:sub>
          </m:sSub>
        </m:oMath>
      </m:oMathPara>
    </w:p>
    <w:p>
      <w:pPr>
        <w:pStyle w:val="FirstParagraph"/>
      </w:pPr>
      <w:r>
        <w:t xml:space="preserve">This makes the external model optional rather than a dependency of the core analytical workflow.</w:t>
      </w:r>
    </w:p>
    <w:bookmarkEnd w:id="50"/>
    <w:bookmarkStart w:id="51" w:name="formal-reports"/>
    <w:p>
      <w:pPr>
        <w:pStyle w:val="Heading2"/>
      </w:pPr>
      <w:r>
        <w:t xml:space="preserve">12.4 Formal reports</w:t>
      </w:r>
    </w:p>
    <w:p>
      <w:pPr>
        <w:pStyle w:val="FirstParagraph"/>
      </w:pPr>
      <w:r>
        <w:t xml:space="preserve">DOCX and PDF reports are built directly from the saved structured record. Numeric tables are not generated from LLM prose. Reports include:</w:t>
      </w:r>
    </w:p>
    <w:p>
      <w:pPr>
        <w:pStyle w:val="Compact"/>
        <w:numPr>
          <w:ilvl w:val="0"/>
          <w:numId w:val="1007"/>
        </w:numPr>
      </w:pPr>
      <w:r>
        <w:t xml:space="preserve">executive summary;</w:t>
      </w:r>
    </w:p>
    <w:p>
      <w:pPr>
        <w:pStyle w:val="Compact"/>
        <w:numPr>
          <w:ilvl w:val="0"/>
          <w:numId w:val="1007"/>
        </w:numPr>
      </w:pPr>
      <w:r>
        <w:t xml:space="preserve">component status;</w:t>
      </w:r>
    </w:p>
    <w:p>
      <w:pPr>
        <w:pStyle w:val="Compact"/>
        <w:numPr>
          <w:ilvl w:val="0"/>
          <w:numId w:val="1007"/>
        </w:numPr>
      </w:pPr>
      <w:r>
        <w:t xml:space="preserve">production and Bayesian uncertainty;</w:t>
      </w:r>
    </w:p>
    <w:p>
      <w:pPr>
        <w:pStyle w:val="Compact"/>
        <w:numPr>
          <w:ilvl w:val="0"/>
          <w:numId w:val="1007"/>
        </w:numPr>
      </w:pPr>
      <w:r>
        <w:t xml:space="preserve">pest and intercropping overview;</w:t>
      </w:r>
    </w:p>
    <w:p>
      <w:pPr>
        <w:pStyle w:val="Compact"/>
        <w:numPr>
          <w:ilvl w:val="0"/>
          <w:numId w:val="1007"/>
        </w:numPr>
      </w:pPr>
      <w:r>
        <w:t xml:space="preserve">all six rehabilitation scenarios;</w:t>
      </w:r>
    </w:p>
    <w:p>
      <w:pPr>
        <w:pStyle w:val="Compact"/>
        <w:numPr>
          <w:ilvl w:val="0"/>
          <w:numId w:val="1007"/>
        </w:numPr>
      </w:pPr>
      <w:r>
        <w:t xml:space="preserve">selected-scenario work plan;</w:t>
      </w:r>
    </w:p>
    <w:p>
      <w:pPr>
        <w:pStyle w:val="Compact"/>
        <w:numPr>
          <w:ilvl w:val="0"/>
          <w:numId w:val="1007"/>
        </w:numPr>
      </w:pPr>
      <w:r>
        <w:t xml:space="preserve">prioritized recommendations;</w:t>
      </w:r>
    </w:p>
    <w:p>
      <w:pPr>
        <w:pStyle w:val="Compact"/>
        <w:numPr>
          <w:ilvl w:val="0"/>
          <w:numId w:val="1007"/>
        </w:numPr>
      </w:pPr>
      <w:r>
        <w:t xml:space="preserve">evidence traceability;</w:t>
      </w:r>
    </w:p>
    <w:p>
      <w:pPr>
        <w:pStyle w:val="Compact"/>
        <w:numPr>
          <w:ilvl w:val="0"/>
          <w:numId w:val="1007"/>
        </w:numPr>
      </w:pPr>
      <w:r>
        <w:t xml:space="preserve">source provenance;</w:t>
      </w:r>
    </w:p>
    <w:p>
      <w:pPr>
        <w:pStyle w:val="Compact"/>
        <w:numPr>
          <w:ilvl w:val="0"/>
          <w:numId w:val="1007"/>
        </w:numPr>
      </w:pPr>
      <w:r>
        <w:t xml:space="preserve">limitations and safety boundaries;</w:t>
      </w:r>
    </w:p>
    <w:p>
      <w:pPr>
        <w:pStyle w:val="Compact"/>
        <w:numPr>
          <w:ilvl w:val="0"/>
          <w:numId w:val="1007"/>
        </w:numPr>
      </w:pPr>
      <w:r>
        <w:t xml:space="preserve">reproducibility record.</w:t>
      </w:r>
    </w:p>
    <w:p>
      <w:pPr>
        <w:pStyle w:val="FirstParagraph"/>
      </w:pPr>
      <w:r>
        <w:t xml:space="preserve">For a canonical report payload</w:t>
      </w:r>
      <w:r>
        <w:t xml:space="preserve"> </w:t>
      </w:r>
      <m:oMath>
        <m:sSub>
          <m:e>
            <m:r>
              <m:t>J</m:t>
            </m:r>
          </m:e>
          <m:sub>
            <m:r>
              <m:t>R</m:t>
            </m:r>
          </m:sub>
        </m:sSub>
      </m:oMath>
      <w:r>
        <w:t xml:space="preserve">, the content fingerprint is:</w:t>
      </w:r>
    </w:p>
    <w:p>
      <w:pPr>
        <w:pStyle w:val="BodyText"/>
      </w:pPr>
      <m:oMathPara>
        <m:oMathParaPr>
          <m:jc m:val="center"/>
        </m:oMathParaPr>
        <m:oMath>
          <m:sSub>
            <m:e>
              <m:r>
                <m:t>h</m:t>
              </m:r>
            </m:e>
            <m:sub>
              <m:r>
                <m:t>R</m:t>
              </m:r>
            </m:sub>
          </m:sSub>
          <m:r>
            <m:rPr>
              <m:sty m:val="p"/>
            </m:rPr>
            <m:t>=</m:t>
          </m:r>
          <m:r>
            <m:rPr>
              <m:sty m:val="p"/>
            </m:rPr>
            <m:t>SHA256</m:t>
          </m:r>
          <m:r>
            <m:t>​</m:t>
          </m:r>
          <m:d>
            <m:dPr>
              <m:begChr m:val="("/>
              <m:endChr m:val=")"/>
              <m:sepChr m:val=""/>
              <m:grow/>
            </m:dPr>
            <m:e>
              <m:r>
                <m:rPr>
                  <m:sty m:val="p"/>
                </m:rPr>
                <m:t>CanonicalJSON</m:t>
              </m:r>
              <m:d>
                <m:dPr>
                  <m:begChr m:val="("/>
                  <m:endChr m:val=")"/>
                  <m:sepChr m:val=""/>
                  <m:grow/>
                </m:dPr>
                <m:e>
                  <m:sSub>
                    <m:e>
                      <m:r>
                        <m:t>J</m:t>
                      </m:r>
                    </m:e>
                    <m:sub>
                      <m:r>
                        <m:t>R</m:t>
                      </m:r>
                    </m:sub>
                  </m:sSub>
                </m:e>
              </m:d>
            </m:e>
          </m:d>
        </m:oMath>
      </m:oMathPara>
    </w:p>
    <w:p>
      <w:pPr>
        <w:pStyle w:val="FirstParagraph"/>
      </w:pPr>
      <w:r>
        <w:t xml:space="preserve">The actual generated file</w:t>
      </w:r>
      <w:r>
        <w:t xml:space="preserve"> </w:t>
      </w:r>
      <m:oMath>
        <m:sSub>
          <m:e>
            <m:r>
              <m:t>F</m:t>
            </m:r>
          </m:e>
          <m:sub>
            <m:r>
              <m:t>R</m:t>
            </m:r>
          </m:sub>
        </m:sSub>
      </m:oMath>
      <w:r>
        <w:t xml:space="preserve"> </w:t>
      </w:r>
      <w:r>
        <w:t xml:space="preserve">receives a separate checksum:</w:t>
      </w:r>
    </w:p>
    <w:p>
      <w:pPr>
        <w:pStyle w:val="BodyText"/>
      </w:pPr>
      <m:oMathPara>
        <m:oMathParaPr>
          <m:jc m:val="center"/>
        </m:oMathParaPr>
        <m:oMath>
          <m:sSub>
            <m:e>
              <m:r>
                <m:t>h</m:t>
              </m:r>
            </m:e>
            <m:sub>
              <m:r>
                <m:t>F</m:t>
              </m:r>
            </m:sub>
          </m:sSub>
          <m:r>
            <m:rPr>
              <m:sty m:val="p"/>
            </m:rPr>
            <m:t>=</m:t>
          </m:r>
          <m:r>
            <m:rPr>
              <m:sty m:val="p"/>
            </m:rPr>
            <m:t>SHA256</m:t>
          </m:r>
          <m:d>
            <m:dPr>
              <m:begChr m:val="("/>
              <m:endChr m:val=")"/>
              <m:sepChr m:val=""/>
              <m:grow/>
            </m:dPr>
            <m:e>
              <m:sSub>
                <m:e>
                  <m:r>
                    <m:t>F</m:t>
                  </m:r>
                </m:e>
                <m:sub>
                  <m:r>
                    <m:t>R</m:t>
                  </m:r>
                </m:sub>
              </m:sSub>
            </m:e>
          </m:d>
        </m:oMath>
      </m:oMathPara>
    </w:p>
    <w:p>
      <w:pPr>
        <w:pStyle w:val="FirstParagraph"/>
      </w:pPr>
      <w:r>
        <w:t xml:space="preserve">The database stores both values with the generator version, report format, filename, analysis-run identifier, and source manifest.</w:t>
      </w:r>
    </w:p>
    <w:bookmarkEnd w:id="51"/>
    <w:bookmarkStart w:id="52" w:name="phase-10-database-and-apis"/>
    <w:p>
      <w:pPr>
        <w:pStyle w:val="Heading2"/>
      </w:pPr>
      <w:r>
        <w:t xml:space="preserve">12.5 Phase 10 database and APIs</w:t>
      </w:r>
    </w:p>
    <w:p>
      <w:pPr>
        <w:pStyle w:val="FirstParagraph"/>
      </w:pPr>
      <w:r>
        <w:t xml:space="preserve">Migration 10 adds:</w:t>
      </w:r>
    </w:p>
    <w:p>
      <w:pPr>
        <w:pStyle w:val="Compact"/>
        <w:numPr>
          <w:ilvl w:val="0"/>
          <w:numId w:val="1008"/>
        </w:numPr>
      </w:pPr>
      <w:r>
        <w:rPr>
          <w:rStyle w:val="VerbatimChar"/>
        </w:rPr>
        <w:t xml:space="preserve">coco_pilot_runs</w:t>
      </w:r>
      <w:r>
        <w:t xml:space="preserve">;</w:t>
      </w:r>
    </w:p>
    <w:p>
      <w:pPr>
        <w:pStyle w:val="Compact"/>
        <w:numPr>
          <w:ilvl w:val="0"/>
          <w:numId w:val="1008"/>
        </w:numPr>
      </w:pPr>
      <w:r>
        <w:rPr>
          <w:rStyle w:val="VerbatimChar"/>
        </w:rPr>
        <w:t xml:space="preserve">formal_report_runs</w:t>
      </w:r>
      <w:r>
        <w:t xml:space="preserve">.</w:t>
      </w:r>
    </w:p>
    <w:p>
      <w:pPr>
        <w:pStyle w:val="FirstParagraph"/>
      </w:pPr>
      <w:r>
        <w:t xml:space="preserve">The Phase 10 API surface is:</w:t>
      </w:r>
    </w:p>
    <w:p>
      <w:pPr>
        <w:pStyle w:val="SourceCode"/>
      </w:pPr>
      <w:r>
        <w:rPr>
          <w:rStyle w:val="VerbatimChar"/>
        </w:rPr>
        <w:t xml:space="preserve">GET  /api/v2/coco-pilot/status</w:t>
      </w:r>
      <w:r>
        <w:br/>
      </w:r>
      <w:r>
        <w:rPr>
          <w:rStyle w:val="VerbatimChar"/>
        </w:rPr>
        <w:t xml:space="preserve">POST /api/v2/coco-pilot/explain</w:t>
      </w:r>
      <w:r>
        <w:br/>
      </w:r>
      <w:r>
        <w:rPr>
          <w:rStyle w:val="VerbatimChar"/>
        </w:rPr>
        <w:t xml:space="preserve">GET  /api/v2/coco-pilot/runs</w:t>
      </w:r>
      <w:r>
        <w:br/>
      </w:r>
      <w:r>
        <w:rPr>
          <w:rStyle w:val="VerbatimChar"/>
        </w:rPr>
        <w:t xml:space="preserve">GET  /api/v2/coco-pilot/runs/{run_id}</w:t>
      </w:r>
      <w:r>
        <w:br/>
      </w:r>
      <w:r>
        <w:rPr>
          <w:rStyle w:val="VerbatimChar"/>
        </w:rPr>
        <w:t xml:space="preserve">POST /api/v2/formal-reports/generate</w:t>
      </w:r>
      <w:r>
        <w:br/>
      </w:r>
      <w:r>
        <w:rPr>
          <w:rStyle w:val="VerbatimChar"/>
        </w:rPr>
        <w:t xml:space="preserve">GET  /api/v2/formal-reports</w:t>
      </w:r>
      <w:r>
        <w:br/>
      </w:r>
      <w:r>
        <w:rPr>
          <w:rStyle w:val="VerbatimChar"/>
        </w:rPr>
        <w:t xml:space="preserve">GET  /api/v2/formal-reports/{report_id}</w:t>
      </w:r>
      <w:r>
        <w:br/>
      </w:r>
      <w:r>
        <w:rPr>
          <w:rStyle w:val="VerbatimChar"/>
        </w:rPr>
        <w:t xml:space="preserve">GET  /api/v2/formal-reports/{report_id}/download</w:t>
      </w:r>
    </w:p>
    <w:p>
      <w:pPr>
        <w:pStyle w:val="FirstParagraph"/>
      </w:pPr>
      <w:r>
        <w:t xml:space="preserve">Local report file paths are not returned by the public metadata endpoint. The download route validates that the stored file resolves inside the configured reports directory.</w:t>
      </w:r>
    </w:p>
    <w:bookmarkEnd w:id="52"/>
    <w:bookmarkEnd w:id="53"/>
    <w:bookmarkStart w:id="54" w:name="database-migration-strategy"/>
    <w:p>
      <w:pPr>
        <w:pStyle w:val="Heading1"/>
      </w:pPr>
      <w:r>
        <w:t xml:space="preserve">13. Database Migration Strategy</w:t>
      </w:r>
    </w:p>
    <w:p>
      <w:pPr>
        <w:pStyle w:val="FirstParagraph"/>
      </w:pPr>
      <w:r>
        <w:t xml:space="preserve">The database has ten additive migrations. Each migration contains a version, name, checksum, upgrade function, and guarded downgrade function.</w:t>
      </w:r>
    </w:p>
    <w:p>
      <w:pPr>
        <w:pStyle w:val="BodyText"/>
      </w:pPr>
      <w:r>
        <w:t xml:space="preserve">The applied migration sequence is:</w:t>
      </w:r>
    </w:p>
    <w:p>
      <w:pPr>
        <w:pStyle w:val="Compact"/>
        <w:numPr>
          <w:ilvl w:val="0"/>
          <w:numId w:val="1009"/>
        </w:numPr>
      </w:pPr>
      <w:r>
        <w:rPr>
          <w:b/>
          <w:bCs/>
        </w:rPr>
        <w:t xml:space="preserve">Migration 1:</w:t>
      </w:r>
      <w:r>
        <w:t xml:space="preserve"> </w:t>
      </w:r>
      <w:r>
        <w:t xml:space="preserve">Core v3 architecture and adoption metadata.</w:t>
      </w:r>
    </w:p>
    <w:p>
      <w:pPr>
        <w:pStyle w:val="Compact"/>
        <w:numPr>
          <w:ilvl w:val="0"/>
          <w:numId w:val="1009"/>
        </w:numPr>
      </w:pPr>
      <w:r>
        <w:rPr>
          <w:b/>
          <w:bCs/>
        </w:rPr>
        <w:t xml:space="preserve">Migration 2:</w:t>
      </w:r>
      <w:r>
        <w:t xml:space="preserve"> </w:t>
      </w:r>
      <w:r>
        <w:t xml:space="preserve">PCA data foundation and restricted farmer registry.</w:t>
      </w:r>
    </w:p>
    <w:p>
      <w:pPr>
        <w:pStyle w:val="Compact"/>
        <w:numPr>
          <w:ilvl w:val="0"/>
          <w:numId w:val="1009"/>
        </w:numPr>
      </w:pPr>
      <w:r>
        <w:rPr>
          <w:b/>
          <w:bCs/>
        </w:rPr>
        <w:t xml:space="preserve">Migration 3:</w:t>
      </w:r>
      <w:r>
        <w:t xml:space="preserve"> </w:t>
      </w:r>
      <w:r>
        <w:t xml:space="preserve">Weather runs, values, features, and feature sets.</w:t>
      </w:r>
    </w:p>
    <w:p>
      <w:pPr>
        <w:pStyle w:val="Compact"/>
        <w:numPr>
          <w:ilvl w:val="0"/>
          <w:numId w:val="1009"/>
        </w:numPr>
      </w:pPr>
      <w:r>
        <w:rPr>
          <w:b/>
          <w:bCs/>
        </w:rPr>
        <w:t xml:space="preserve">Migration 4:</w:t>
      </w:r>
      <w:r>
        <w:t xml:space="preserve"> </w:t>
      </w:r>
      <w:r>
        <w:t xml:space="preserve">Production feature snapshots, forecasts, products, actuals, and economic profiles.</w:t>
      </w:r>
    </w:p>
    <w:p>
      <w:pPr>
        <w:pStyle w:val="Compact"/>
        <w:numPr>
          <w:ilvl w:val="0"/>
          <w:numId w:val="1009"/>
        </w:numPr>
      </w:pPr>
      <w:r>
        <w:rPr>
          <w:b/>
          <w:bCs/>
        </w:rPr>
        <w:t xml:space="preserve">Migration 5:</w:t>
      </w:r>
      <w:r>
        <w:t xml:space="preserve"> </w:t>
      </w:r>
      <w:r>
        <w:t xml:space="preserve">Bayesian observations, runs, posteriors, parameters, and assimilation audit.</w:t>
      </w:r>
    </w:p>
    <w:p>
      <w:pPr>
        <w:pStyle w:val="Compact"/>
        <w:numPr>
          <w:ilvl w:val="0"/>
          <w:numId w:val="1009"/>
        </w:numPr>
      </w:pPr>
      <w:r>
        <w:rPr>
          <w:b/>
          <w:bCs/>
        </w:rPr>
        <w:t xml:space="preserve">Migration 6:</w:t>
      </w:r>
      <w:r>
        <w:t xml:space="preserve"> </w:t>
      </w:r>
      <w:r>
        <w:t xml:space="preserve">Pest observations, runs, assessments, contributions, and actions.</w:t>
      </w:r>
    </w:p>
    <w:p>
      <w:pPr>
        <w:pStyle w:val="Compact"/>
        <w:numPr>
          <w:ilvl w:val="0"/>
          <w:numId w:val="1009"/>
        </w:numPr>
      </w:pPr>
      <w:r>
        <w:rPr>
          <w:b/>
          <w:bCs/>
        </w:rPr>
        <w:t xml:space="preserve">Migration 7:</w:t>
      </w:r>
      <w:r>
        <w:t xml:space="preserve"> </w:t>
      </w:r>
      <w:r>
        <w:t xml:space="preserve">Intercrop requirements, runs, cell assessments, and component scores.</w:t>
      </w:r>
    </w:p>
    <w:p>
      <w:pPr>
        <w:pStyle w:val="Compact"/>
        <w:numPr>
          <w:ilvl w:val="0"/>
          <w:numId w:val="1009"/>
        </w:numPr>
      </w:pPr>
      <w:r>
        <w:rPr>
          <w:b/>
          <w:bCs/>
        </w:rPr>
        <w:t xml:space="preserve">Migration 8:</w:t>
      </w:r>
      <w:r>
        <w:t xml:space="preserve"> </w:t>
      </w:r>
      <w:r>
        <w:t xml:space="preserve">Rehabilitation plans, actions, and scenario results.</w:t>
      </w:r>
    </w:p>
    <w:p>
      <w:pPr>
        <w:pStyle w:val="Compact"/>
        <w:numPr>
          <w:ilvl w:val="0"/>
          <w:numId w:val="1009"/>
        </w:numPr>
      </w:pPr>
      <w:r>
        <w:rPr>
          <w:b/>
          <w:bCs/>
        </w:rPr>
        <w:t xml:space="preserve">Migration 9:</w:t>
      </w:r>
      <w:r>
        <w:t xml:space="preserve"> </w:t>
      </w:r>
      <w:r>
        <w:t xml:space="preserve">Decision-support runs, components, recommendations, and trace edges.</w:t>
      </w:r>
    </w:p>
    <w:p>
      <w:pPr>
        <w:pStyle w:val="Compact"/>
        <w:numPr>
          <w:ilvl w:val="0"/>
          <w:numId w:val="1009"/>
        </w:numPr>
      </w:pPr>
      <w:r>
        <w:rPr>
          <w:b/>
          <w:bCs/>
        </w:rPr>
        <w:t xml:space="preserve">Migration 10:</w:t>
      </w:r>
      <w:r>
        <w:t xml:space="preserve"> </w:t>
      </w:r>
      <w:r>
        <w:t xml:space="preserve">CoCO-PILOT runs and formal-report records.</w:t>
      </w:r>
    </w:p>
    <w:p>
      <w:pPr>
        <w:pStyle w:val="FirstParagraph"/>
      </w:pPr>
      <w:r>
        <w:t xml:space="preserve">Migration integrity requires:</w:t>
      </w:r>
    </w:p>
    <w:p>
      <w:pPr>
        <w:pStyle w:val="BodyText"/>
      </w:pPr>
      <m:oMathPara>
        <m:oMathParaPr>
          <m:jc m:val="center"/>
        </m:oMathParaPr>
        <m:oMath>
          <m:r>
            <m:rPr>
              <m:sty m:val="p"/>
            </m:rPr>
            <m:t>checksum</m:t>
          </m:r>
          <m:d>
            <m:dPr>
              <m:begChr m:val="("/>
              <m:endChr m:val=")"/>
              <m:sepChr m:val=""/>
              <m:grow/>
            </m:dPr>
            <m:e>
              <m:sSub>
                <m:e>
                  <m:r>
                    <m:t>M</m:t>
                  </m:r>
                </m:e>
                <m:sub>
                  <m:r>
                    <m:t>v</m:t>
                  </m:r>
                </m:sub>
              </m:sSub>
            </m:e>
          </m:d>
          <m:r>
            <m:rPr>
              <m:sty m:val="p"/>
            </m:rPr>
            <m:t>=</m:t>
          </m:r>
          <m:r>
            <m:rPr>
              <m:sty m:val="p"/>
            </m:rPr>
            <m:t>stored_checksum</m:t>
          </m:r>
          <m:d>
            <m:dPr>
              <m:begChr m:val="("/>
              <m:endChr m:val=")"/>
              <m:sepChr m:val=""/>
              <m:grow/>
            </m:dPr>
            <m:e>
              <m:r>
                <m:t>v</m:t>
              </m:r>
            </m:e>
          </m:d>
        </m:oMath>
      </m:oMathPara>
    </w:p>
    <w:p>
      <w:pPr>
        <w:pStyle w:val="FirstParagraph"/>
      </w:pPr>
      <w:r>
        <w:t xml:space="preserve">before an already-applied migration is accepted as unchanged.</w:t>
      </w:r>
    </w:p>
    <w:bookmarkEnd w:id="54"/>
    <w:bookmarkStart w:id="55" w:name="api-and-contract-engineering"/>
    <w:p>
      <w:pPr>
        <w:pStyle w:val="Heading1"/>
      </w:pPr>
      <w:r>
        <w:t xml:space="preserve">14. API and Contract Engineering</w:t>
      </w:r>
    </w:p>
    <w:p>
      <w:pPr>
        <w:pStyle w:val="FirstParagraph"/>
      </w:pPr>
      <w:r>
        <w:t xml:space="preserve">The contract version for Phase 10 is:</w:t>
      </w:r>
    </w:p>
    <w:p>
      <w:pPr>
        <w:pStyle w:val="SourceCode"/>
      </w:pPr>
      <w:r>
        <w:rPr>
          <w:rStyle w:val="VerbatimChar"/>
        </w:rPr>
        <w:t xml:space="preserve">3.0.0-draft.10</w:t>
      </w:r>
    </w:p>
    <w:p>
      <w:pPr>
        <w:pStyle w:val="FirstParagraph"/>
      </w:pPr>
      <w:r>
        <w:t xml:space="preserve">Each request is validated before engine execution. Invalid JSON, missing identifiers, range violations, cross-farm linkages, and missing upstream records return structured errors with a request identifier.</w:t>
      </w:r>
    </w:p>
    <w:p>
      <w:pPr>
        <w:pStyle w:val="BodyText"/>
      </w:pPr>
      <w:r>
        <w:t xml:space="preserve">A general validation predicate is:</w:t>
      </w:r>
    </w:p>
    <w:p>
      <w:pPr>
        <w:pStyle w:val="BodyText"/>
      </w:pPr>
      <m:oMathPara>
        <m:oMathParaPr>
          <m:jc m:val="center"/>
        </m:oMathParaPr>
        <m:oMath>
          <m:r>
            <m:rPr>
              <m:sty m:val="p"/>
            </m:rPr>
            <m:t>Valid</m:t>
          </m:r>
          <m:d>
            <m:dPr>
              <m:begChr m:val="("/>
              <m:endChr m:val=")"/>
              <m:sepChr m:val=""/>
              <m:grow/>
            </m:dPr>
            <m:e>
              <m:r>
                <m:t>X</m:t>
              </m:r>
            </m:e>
          </m:d>
          <m:r>
            <m:rPr>
              <m:sty m:val="p"/>
            </m:rPr>
            <m:t>=</m:t>
          </m:r>
          <m:limLow>
            <m:e>
              <m:limUpp>
                <m:e>
                  <m:r>
                    <m:rPr>
                      <m:sty m:val="p"/>
                    </m:rPr>
                    <m:t>⋀</m:t>
                  </m:r>
                </m:e>
                <m:lim>
                  <m:r>
                    <m:t>m</m:t>
                  </m:r>
                </m:lim>
              </m:limUpp>
            </m:e>
            <m:lim>
              <m:r>
                <m:t>j</m:t>
              </m:r>
              <m:r>
                <m:rPr>
                  <m:sty m:val="p"/>
                </m:rPr>
                <m:t>=</m:t>
              </m:r>
              <m:r>
                <m:t>1</m:t>
              </m:r>
            </m:lim>
          </m:limLow>
          <m:sSub>
            <m:e>
              <m:r>
                <m:t>c</m:t>
              </m:r>
            </m:e>
            <m:sub>
              <m:r>
                <m:t>j</m:t>
              </m:r>
            </m:sub>
          </m:sSub>
          <m:d>
            <m:dPr>
              <m:begChr m:val="("/>
              <m:endChr m:val=")"/>
              <m:sepChr m:val=""/>
              <m:grow/>
            </m:dPr>
            <m:e>
              <m:r>
                <m:t>X</m:t>
              </m:r>
            </m:e>
          </m:d>
        </m:oMath>
      </m:oMathPara>
    </w:p>
    <w:p>
      <w:pPr>
        <w:pStyle w:val="FirstParagraph"/>
      </w:pPr>
      <w:r>
        <w:t xml:space="preserve">where each</w:t>
      </w:r>
      <w:r>
        <w:t xml:space="preserve"> </w:t>
      </w:r>
      <m:oMath>
        <m:sSub>
          <m:e>
            <m:r>
              <m:t>c</m:t>
            </m:r>
          </m:e>
          <m:sub>
            <m:r>
              <m:t>j</m:t>
            </m:r>
          </m:sub>
        </m:sSub>
      </m:oMath>
      <w:r>
        <w:t xml:space="preserve"> </w:t>
      </w:r>
      <w:r>
        <w:t xml:space="preserve">is a schema, range, unit, linkage, or provenance constraint.</w:t>
      </w:r>
    </w:p>
    <w:p>
      <w:pPr>
        <w:pStyle w:val="BodyText"/>
      </w:pPr>
      <w:r>
        <w:t xml:space="preserve">The API records processing time and request IDs without exposing protected payloads.</w:t>
      </w:r>
    </w:p>
    <w:bookmarkEnd w:id="55"/>
    <w:bookmarkStart w:id="60" w:name="testing-and-verification-process"/>
    <w:p>
      <w:pPr>
        <w:pStyle w:val="Heading1"/>
      </w:pPr>
      <w:r>
        <w:t xml:space="preserve">15. Testing and Verification Process</w:t>
      </w:r>
    </w:p>
    <w:bookmarkStart w:id="56" w:name="test-layers"/>
    <w:p>
      <w:pPr>
        <w:pStyle w:val="Heading2"/>
      </w:pPr>
      <w:r>
        <w:t xml:space="preserve">15.1 Test layers</w:t>
      </w:r>
    </w:p>
    <w:p>
      <w:pPr>
        <w:pStyle w:val="FirstParagraph"/>
      </w:pPr>
      <w:r>
        <w:t xml:space="preserve">The release was tested through:</w:t>
      </w:r>
    </w:p>
    <w:p>
      <w:pPr>
        <w:pStyle w:val="Compact"/>
        <w:numPr>
          <w:ilvl w:val="0"/>
          <w:numId w:val="1010"/>
        </w:numPr>
      </w:pPr>
      <w:r>
        <w:t xml:space="preserve">domain-contract tests;</w:t>
      </w:r>
    </w:p>
    <w:p>
      <w:pPr>
        <w:pStyle w:val="Compact"/>
        <w:numPr>
          <w:ilvl w:val="0"/>
          <w:numId w:val="1010"/>
        </w:numPr>
      </w:pPr>
      <w:r>
        <w:t xml:space="preserve">mathematical and numerical unit tests;</w:t>
      </w:r>
    </w:p>
    <w:p>
      <w:pPr>
        <w:pStyle w:val="Compact"/>
        <w:numPr>
          <w:ilvl w:val="0"/>
          <w:numId w:val="1010"/>
        </w:numPr>
      </w:pPr>
      <w:r>
        <w:t xml:space="preserve">repository and persistence tests;</w:t>
      </w:r>
    </w:p>
    <w:p>
      <w:pPr>
        <w:pStyle w:val="Compact"/>
        <w:numPr>
          <w:ilvl w:val="0"/>
          <w:numId w:val="1010"/>
        </w:numPr>
      </w:pPr>
      <w:r>
        <w:t xml:space="preserve">API integration tests;</w:t>
      </w:r>
    </w:p>
    <w:p>
      <w:pPr>
        <w:pStyle w:val="Compact"/>
        <w:numPr>
          <w:ilvl w:val="0"/>
          <w:numId w:val="1010"/>
        </w:numPr>
      </w:pPr>
      <w:r>
        <w:t xml:space="preserve">migration installation, idempotency, rollback, and re-upgrade tests;</w:t>
      </w:r>
    </w:p>
    <w:p>
      <w:pPr>
        <w:pStyle w:val="Compact"/>
        <w:numPr>
          <w:ilvl w:val="0"/>
          <w:numId w:val="1010"/>
        </w:numPr>
      </w:pPr>
      <w:r>
        <w:t xml:space="preserve">legacy regression tests;</w:t>
      </w:r>
    </w:p>
    <w:p>
      <w:pPr>
        <w:pStyle w:val="Compact"/>
        <w:numPr>
          <w:ilvl w:val="0"/>
          <w:numId w:val="1010"/>
        </w:numPr>
      </w:pPr>
      <w:r>
        <w:t xml:space="preserve">privacy and redaction tests;</w:t>
      </w:r>
    </w:p>
    <w:p>
      <w:pPr>
        <w:pStyle w:val="Compact"/>
        <w:numPr>
          <w:ilvl w:val="0"/>
          <w:numId w:val="1010"/>
        </w:numPr>
      </w:pPr>
      <w:r>
        <w:t xml:space="preserve">deterministic narrative tests;</w:t>
      </w:r>
    </w:p>
    <w:p>
      <w:pPr>
        <w:pStyle w:val="Compact"/>
        <w:numPr>
          <w:ilvl w:val="0"/>
          <w:numId w:val="1010"/>
        </w:numPr>
      </w:pPr>
      <w:r>
        <w:t xml:space="preserve">DOCX and PDF report-generation tests;</w:t>
      </w:r>
    </w:p>
    <w:p>
      <w:pPr>
        <w:pStyle w:val="Compact"/>
        <w:numPr>
          <w:ilvl w:val="0"/>
          <w:numId w:val="1010"/>
        </w:numPr>
      </w:pPr>
      <w:r>
        <w:t xml:space="preserve">checksum and release-hygiene checks;</w:t>
      </w:r>
    </w:p>
    <w:p>
      <w:pPr>
        <w:pStyle w:val="Compact"/>
        <w:numPr>
          <w:ilvl w:val="0"/>
          <w:numId w:val="1010"/>
        </w:numPr>
      </w:pPr>
      <w:r>
        <w:t xml:space="preserve">Python compilation and JavaScript syntax validation;</w:t>
      </w:r>
    </w:p>
    <w:p>
      <w:pPr>
        <w:pStyle w:val="Compact"/>
        <w:numPr>
          <w:ilvl w:val="0"/>
          <w:numId w:val="1010"/>
        </w:numPr>
      </w:pPr>
      <w:r>
        <w:t xml:space="preserve">clean archive extraction and retesting.</w:t>
      </w:r>
    </w:p>
    <w:bookmarkEnd w:id="56"/>
    <w:bookmarkStart w:id="57" w:name="phase-10-test-result"/>
    <w:p>
      <w:pPr>
        <w:pStyle w:val="Heading2"/>
      </w:pPr>
      <w:r>
        <w:t xml:space="preserve">15.2 Phase 10 test result</w:t>
      </w:r>
    </w:p>
    <w:p>
      <w:pPr>
        <w:pStyle w:val="FirstParagraph"/>
      </w:pPr>
      <w:r>
        <w:t xml:space="preserve">The final source inventory contains:</w:t>
      </w:r>
    </w:p>
    <w:p>
      <w:pPr>
        <w:pStyle w:val="BodyText"/>
      </w:pPr>
      <m:oMathPara>
        <m:oMathParaPr>
          <m:jc m:val="center"/>
        </m:oMathParaPr>
        <m:oMath>
          <m:sSub>
            <m:e>
              <m:r>
                <m:t>N</m:t>
              </m:r>
            </m:e>
            <m:sub>
              <m:r>
                <m:rPr>
                  <m:nor/>
                  <m:sty m:val="p"/>
                </m:rPr>
                <m:t>tests</m:t>
              </m:r>
            </m:sub>
          </m:sSub>
          <m:r>
            <m:rPr>
              <m:sty m:val="p"/>
            </m:rPr>
            <m:t>=</m:t>
          </m:r>
          <m:r>
            <m:t>259</m:t>
          </m:r>
        </m:oMath>
      </m:oMathPara>
    </w:p>
    <w:p>
      <w:pPr>
        <w:pStyle w:val="FirstParagraph"/>
      </w:pPr>
      <w:r>
        <w:t xml:space="preserve">across:</w:t>
      </w:r>
    </w:p>
    <w:p>
      <w:pPr>
        <w:pStyle w:val="BodyText"/>
      </w:pPr>
      <m:oMathPara>
        <m:oMathParaPr>
          <m:jc m:val="center"/>
        </m:oMathParaPr>
        <m:oMath>
          <m:sSub>
            <m:e>
              <m:r>
                <m:t>N</m:t>
              </m:r>
            </m:e>
            <m:sub>
              <m:r>
                <m:rPr>
                  <m:nor/>
                  <m:sty m:val="p"/>
                </m:rPr>
                <m:t>test files</m:t>
              </m:r>
            </m:sub>
          </m:sSub>
          <m:r>
            <m:rPr>
              <m:sty m:val="p"/>
            </m:rPr>
            <m:t>=</m:t>
          </m:r>
          <m:r>
            <m:t>84</m:t>
          </m:r>
        </m:oMath>
      </m:oMathPara>
    </w:p>
    <w:p>
      <w:pPr>
        <w:pStyle w:val="FirstParagraph"/>
      </w:pPr>
      <w:r>
        <w:t xml:space="preserve">All tests passed. Pytest warnings are configured as errors, so an unhandled warning fails the suite instead of being hidden.</w:t>
      </w:r>
    </w:p>
    <w:bookmarkEnd w:id="57"/>
    <w:bookmarkStart w:id="58" w:name="deterministic-simulation-verification"/>
    <w:p>
      <w:pPr>
        <w:pStyle w:val="Heading2"/>
      </w:pPr>
      <w:r>
        <w:t xml:space="preserve">15.3 Deterministic simulation verification</w:t>
      </w:r>
    </w:p>
    <w:p>
      <w:pPr>
        <w:pStyle w:val="FirstParagraph"/>
      </w:pPr>
      <w:r>
        <w:t xml:space="preserve">For stochastic requests, reproducibility requires:</w:t>
      </w:r>
    </w:p>
    <w:p>
      <w:pPr>
        <w:pStyle w:val="BodyText"/>
      </w:pPr>
      <m:oMathPara>
        <m:oMathParaPr>
          <m:jc m:val="center"/>
        </m:oMathParaPr>
        <m:oMath>
          <m:r>
            <m:t>Y</m:t>
          </m:r>
          <m:r>
            <m:rPr>
              <m:sty m:val="p"/>
            </m:rPr>
            <m:t>=</m:t>
          </m:r>
          <m:r>
            <m:t>f</m:t>
          </m:r>
          <m:d>
            <m:dPr>
              <m:begChr m:val="("/>
              <m:endChr m:val=")"/>
              <m:sepChr m:val=""/>
              <m:grow/>
            </m:dPr>
            <m:e>
              <m:r>
                <m:t>X</m:t>
              </m:r>
              <m:r>
                <m:rPr>
                  <m:sty m:val="p"/>
                </m:rPr>
                <m:t>,</m:t>
              </m:r>
              <m:sSub>
                <m:e>
                  <m:r>
                    <m:t>V</m:t>
                  </m:r>
                </m:e>
                <m:sub>
                  <m:r>
                    <m:t>P</m:t>
                  </m:r>
                </m:sub>
              </m:sSub>
              <m:r>
                <m:rPr>
                  <m:sty m:val="p"/>
                </m:rPr>
                <m:t>,</m:t>
              </m:r>
              <m:r>
                <m:t>s</m:t>
              </m:r>
            </m:e>
          </m:d>
        </m:oMath>
      </m:oMathPara>
    </w:p>
    <w:p>
      <w:pPr>
        <w:pStyle w:val="FirstParagraph"/>
      </w:pPr>
      <w:r>
        <w:t xml:space="preserve">where</w:t>
      </w:r>
      <w:r>
        <w:t xml:space="preserve"> </w:t>
      </w:r>
      <m:oMath>
        <m:r>
          <m:t>s</m:t>
        </m:r>
      </m:oMath>
      <w:r>
        <w:t xml:space="preserve"> </w:t>
      </w:r>
      <w:r>
        <w:t xml:space="preserve">is the stored random seed. Identical</w:t>
      </w:r>
      <w:r>
        <w:t xml:space="preserve"> </w:t>
      </w:r>
      <m:oMath>
        <m:r>
          <m:t>X</m:t>
        </m:r>
      </m:oMath>
      <w:r>
        <w:t xml:space="preserve">,</w:t>
      </w:r>
      <w:r>
        <w:t xml:space="preserve"> </w:t>
      </w:r>
      <m:oMath>
        <m:sSub>
          <m:e>
            <m:r>
              <m:t>V</m:t>
            </m:r>
          </m:e>
          <m:sub>
            <m:r>
              <m:t>P</m:t>
            </m:r>
          </m:sub>
        </m:sSub>
      </m:oMath>
      <w:r>
        <w:t xml:space="preserve">, and</w:t>
      </w:r>
      <w:r>
        <w:t xml:space="preserve"> </w:t>
      </w:r>
      <m:oMath>
        <m:r>
          <m:t>s</m:t>
        </m:r>
      </m:oMath>
      <w:r>
        <w:t xml:space="preserve"> </w:t>
      </w:r>
      <w:r>
        <w:t xml:space="preserve">must produce identical stored posterior summaries.</w:t>
      </w:r>
    </w:p>
    <w:bookmarkEnd w:id="58"/>
    <w:bookmarkStart w:id="59" w:name="report-verification"/>
    <w:p>
      <w:pPr>
        <w:pStyle w:val="Heading2"/>
      </w:pPr>
      <w:r>
        <w:t xml:space="preserve">15.4 Report verification</w:t>
      </w:r>
    </w:p>
    <w:p>
      <w:pPr>
        <w:pStyle w:val="FirstParagraph"/>
      </w:pPr>
      <w:r>
        <w:t xml:space="preserve">Formal-report tests verify:</w:t>
      </w:r>
    </w:p>
    <w:p>
      <w:pPr>
        <w:pStyle w:val="Compact"/>
        <w:numPr>
          <w:ilvl w:val="0"/>
          <w:numId w:val="1011"/>
        </w:numPr>
      </w:pPr>
      <w:r>
        <w:t xml:space="preserve">valid DOCX package structure;</w:t>
      </w:r>
    </w:p>
    <w:p>
      <w:pPr>
        <w:pStyle w:val="Compact"/>
        <w:numPr>
          <w:ilvl w:val="0"/>
          <w:numId w:val="1011"/>
        </w:numPr>
      </w:pPr>
      <w:r>
        <w:t xml:space="preserve">non-empty PDF output;</w:t>
      </w:r>
    </w:p>
    <w:p>
      <w:pPr>
        <w:pStyle w:val="Compact"/>
        <w:numPr>
          <w:ilvl w:val="0"/>
          <w:numId w:val="1011"/>
        </w:numPr>
      </w:pPr>
      <w:r>
        <w:t xml:space="preserve">source and file checksums;</w:t>
      </w:r>
    </w:p>
    <w:p>
      <w:pPr>
        <w:pStyle w:val="Compact"/>
        <w:numPr>
          <w:ilvl w:val="0"/>
          <w:numId w:val="1011"/>
        </w:numPr>
      </w:pPr>
      <w:r>
        <w:t xml:space="preserve">report persistence and retrieval;</w:t>
      </w:r>
    </w:p>
    <w:p>
      <w:pPr>
        <w:pStyle w:val="Compact"/>
        <w:numPr>
          <w:ilvl w:val="0"/>
          <w:numId w:val="1011"/>
        </w:numPr>
      </w:pPr>
      <w:r>
        <w:t xml:space="preserve">analysis-to-narrative linkage;</w:t>
      </w:r>
    </w:p>
    <w:p>
      <w:pPr>
        <w:pStyle w:val="Compact"/>
        <w:numPr>
          <w:ilvl w:val="0"/>
          <w:numId w:val="1011"/>
        </w:numPr>
      </w:pPr>
      <w:r>
        <w:t xml:space="preserve">restricted data exclusion;</w:t>
      </w:r>
    </w:p>
    <w:p>
      <w:pPr>
        <w:pStyle w:val="Compact"/>
        <w:numPr>
          <w:ilvl w:val="0"/>
          <w:numId w:val="1011"/>
        </w:numPr>
      </w:pPr>
      <w:r>
        <w:t xml:space="preserve">public metadata path redaction;</w:t>
      </w:r>
    </w:p>
    <w:p>
      <w:pPr>
        <w:pStyle w:val="Compact"/>
        <w:numPr>
          <w:ilvl w:val="0"/>
          <w:numId w:val="1011"/>
        </w:numPr>
      </w:pPr>
      <w:r>
        <w:t xml:space="preserve">successful file download from the authorized reports directory.</w:t>
      </w:r>
    </w:p>
    <w:bookmarkEnd w:id="59"/>
    <w:bookmarkEnd w:id="60"/>
    <w:bookmarkStart w:id="61" w:name="security-privacy-and-safety-controls"/>
    <w:p>
      <w:pPr>
        <w:pStyle w:val="Heading1"/>
      </w:pPr>
      <w:r>
        <w:t xml:space="preserve">16. Security, Privacy, and Safety Controls</w:t>
      </w:r>
    </w:p>
    <w:p>
      <w:pPr>
        <w:pStyle w:val="FirstParagraph"/>
      </w:pPr>
      <w:r>
        <w:t xml:space="preserve">The architecture separates protected identity records from farm analytics. The following are excluded from public responses and optional AI context:</w:t>
      </w:r>
    </w:p>
    <w:p>
      <w:pPr>
        <w:pStyle w:val="Compact"/>
        <w:numPr>
          <w:ilvl w:val="0"/>
          <w:numId w:val="1012"/>
        </w:numPr>
      </w:pPr>
      <w:r>
        <w:t xml:space="preserve">farmer names;</w:t>
      </w:r>
    </w:p>
    <w:p>
      <w:pPr>
        <w:pStyle w:val="Compact"/>
        <w:numPr>
          <w:ilvl w:val="0"/>
          <w:numId w:val="1012"/>
        </w:numPr>
      </w:pPr>
      <w:r>
        <w:t xml:space="preserve">contact details;</w:t>
      </w:r>
    </w:p>
    <w:p>
      <w:pPr>
        <w:pStyle w:val="Compact"/>
        <w:numPr>
          <w:ilvl w:val="0"/>
          <w:numId w:val="1012"/>
        </w:numPr>
      </w:pPr>
      <w:r>
        <w:t xml:space="preserve">identity fingerprints;</w:t>
      </w:r>
    </w:p>
    <w:p>
      <w:pPr>
        <w:pStyle w:val="Compact"/>
        <w:numPr>
          <w:ilvl w:val="0"/>
          <w:numId w:val="1012"/>
        </w:numPr>
      </w:pPr>
      <w:r>
        <w:t xml:space="preserve">raw farmer-registry payloads;</w:t>
      </w:r>
    </w:p>
    <w:p>
      <w:pPr>
        <w:pStyle w:val="Compact"/>
        <w:numPr>
          <w:ilvl w:val="0"/>
          <w:numId w:val="1012"/>
        </w:numPr>
      </w:pPr>
      <w:r>
        <w:t xml:space="preserve">restricted source files;</w:t>
      </w:r>
    </w:p>
    <w:p>
      <w:pPr>
        <w:pStyle w:val="Compact"/>
        <w:numPr>
          <w:ilvl w:val="0"/>
          <w:numId w:val="1012"/>
        </w:numPr>
      </w:pPr>
      <w:r>
        <w:t xml:space="preserve">private provider settings;</w:t>
      </w:r>
    </w:p>
    <w:p>
      <w:pPr>
        <w:pStyle w:val="Compact"/>
        <w:numPr>
          <w:ilvl w:val="0"/>
          <w:numId w:val="1012"/>
        </w:numPr>
      </w:pPr>
      <w:r>
        <w:t xml:space="preserve">local database and backup paths.</w:t>
      </w:r>
    </w:p>
    <w:p>
      <w:pPr>
        <w:pStyle w:val="FirstParagraph"/>
      </w:pPr>
      <w:r>
        <w:t xml:space="preserve">The assistant and report layers cannot:</w:t>
      </w:r>
    </w:p>
    <w:p>
      <w:pPr>
        <w:pStyle w:val="Compact"/>
        <w:numPr>
          <w:ilvl w:val="0"/>
          <w:numId w:val="1013"/>
        </w:numPr>
      </w:pPr>
      <w:r>
        <w:t xml:space="preserve">create new field evidence;</w:t>
      </w:r>
    </w:p>
    <w:p>
      <w:pPr>
        <w:pStyle w:val="Compact"/>
        <w:numPr>
          <w:ilvl w:val="0"/>
          <w:numId w:val="1013"/>
        </w:numPr>
      </w:pPr>
      <w:r>
        <w:t xml:space="preserve">override analytical outputs;</w:t>
      </w:r>
    </w:p>
    <w:p>
      <w:pPr>
        <w:pStyle w:val="Compact"/>
        <w:numPr>
          <w:ilvl w:val="0"/>
          <w:numId w:val="1013"/>
        </w:numPr>
      </w:pPr>
      <w:r>
        <w:t xml:space="preserve">treat forecasts as confirmed events;</w:t>
      </w:r>
    </w:p>
    <w:p>
      <w:pPr>
        <w:pStyle w:val="Compact"/>
        <w:numPr>
          <w:ilvl w:val="0"/>
          <w:numId w:val="1013"/>
        </w:numPr>
      </w:pPr>
      <w:r>
        <w:t xml:space="preserve">prescribe unverified chemical dosage;</w:t>
      </w:r>
    </w:p>
    <w:p>
      <w:pPr>
        <w:pStyle w:val="Compact"/>
        <w:numPr>
          <w:ilvl w:val="0"/>
          <w:numId w:val="1013"/>
        </w:numPr>
      </w:pPr>
      <w:r>
        <w:t xml:space="preserve">convert gross-revenue scenarios into guaranteed profit;</w:t>
      </w:r>
    </w:p>
    <w:p>
      <w:pPr>
        <w:pStyle w:val="Compact"/>
        <w:numPr>
          <w:ilvl w:val="0"/>
          <w:numId w:val="1013"/>
        </w:numPr>
      </w:pPr>
      <w:r>
        <w:t xml:space="preserve">represent model outputs as official PCA diagnoses.</w:t>
      </w:r>
    </w:p>
    <w:bookmarkEnd w:id="61"/>
    <w:bookmarkStart w:id="62" w:name="X914c581f7cee42c99a182edfaa866b0b7294778"/>
    <w:p>
      <w:pPr>
        <w:pStyle w:val="Heading1"/>
      </w:pPr>
      <w:r>
        <w:t xml:space="preserve">17. Current Scientific and Engineering Limitations</w:t>
      </w:r>
    </w:p>
    <w:p>
      <w:pPr>
        <w:pStyle w:val="FirstParagraph"/>
      </w:pPr>
      <w:r>
        <w:t xml:space="preserve">The current system remains a research prototype. Its principal limitations are:</w:t>
      </w:r>
    </w:p>
    <w:p>
      <w:pPr>
        <w:pStyle w:val="Compact"/>
        <w:numPr>
          <w:ilvl w:val="0"/>
          <w:numId w:val="1014"/>
        </w:numPr>
      </w:pPr>
      <w:r>
        <w:t xml:space="preserve">The retained ML model was not retrained from a new longitudinal PCA farm-outcome dataset.</w:t>
      </w:r>
    </w:p>
    <w:p>
      <w:pPr>
        <w:pStyle w:val="Compact"/>
        <w:numPr>
          <w:ilvl w:val="0"/>
          <w:numId w:val="1014"/>
        </w:numPr>
      </w:pPr>
      <w:r>
        <w:t xml:space="preserve">PCA variety sheets parameterize priors and conversions; they are not farm-level training samples.</w:t>
      </w:r>
    </w:p>
    <w:p>
      <w:pPr>
        <w:pStyle w:val="Compact"/>
        <w:numPr>
          <w:ilvl w:val="0"/>
          <w:numId w:val="1014"/>
        </w:numPr>
      </w:pPr>
      <w:r>
        <w:t xml:space="preserve">Pest coefficients and non-light intercrop thresholds require expert calibration and field validation.</w:t>
      </w:r>
    </w:p>
    <w:p>
      <w:pPr>
        <w:pStyle w:val="Compact"/>
        <w:numPr>
          <w:ilvl w:val="0"/>
          <w:numId w:val="1014"/>
        </w:numPr>
      </w:pPr>
      <w:r>
        <w:t xml:space="preserve">Bayesian priors and transition rules remain experimental.</w:t>
      </w:r>
    </w:p>
    <w:p>
      <w:pPr>
        <w:pStyle w:val="Compact"/>
        <w:numPr>
          <w:ilvl w:val="0"/>
          <w:numId w:val="1014"/>
        </w:numPr>
      </w:pPr>
      <w:r>
        <w:t xml:space="preserve">Intercropping economic values are incomplete gross-income observations with limited cost coverage.</w:t>
      </w:r>
    </w:p>
    <w:p>
      <w:pPr>
        <w:pStyle w:val="Compact"/>
        <w:numPr>
          <w:ilvl w:val="0"/>
          <w:numId w:val="1014"/>
        </w:numPr>
      </w:pPr>
      <w:r>
        <w:t xml:space="preserve">Long-term climate outputs are scenarios rather than exact forecasts.</w:t>
      </w:r>
    </w:p>
    <w:p>
      <w:pPr>
        <w:pStyle w:val="Compact"/>
        <w:numPr>
          <w:ilvl w:val="0"/>
          <w:numId w:val="1014"/>
        </w:numPr>
      </w:pPr>
      <w:r>
        <w:t xml:space="preserve">The AI layer is an explanation and report-writing layer, not an agronomic authority.</w:t>
      </w:r>
    </w:p>
    <w:p>
      <w:pPr>
        <w:pStyle w:val="Compact"/>
        <w:numPr>
          <w:ilvl w:val="0"/>
          <w:numId w:val="1014"/>
        </w:numPr>
      </w:pPr>
      <w:r>
        <w:t xml:space="preserve">Real intervention effectiveness must be evaluated against implemented field outcomes.</w:t>
      </w:r>
    </w:p>
    <w:bookmarkEnd w:id="62"/>
    <w:bookmarkStart w:id="63" w:name="release-and-deployment-procedure"/>
    <w:p>
      <w:pPr>
        <w:pStyle w:val="Heading1"/>
      </w:pPr>
      <w:r>
        <w:t xml:space="preserve">18. Release and Deployment Procedure</w:t>
      </w:r>
    </w:p>
    <w:p>
      <w:pPr>
        <w:pStyle w:val="FirstParagraph"/>
      </w:pPr>
      <w:r>
        <w:t xml:space="preserve">The controlled Windows deployment process is:</w:t>
      </w:r>
    </w:p>
    <w:p>
      <w:pPr>
        <w:pStyle w:val="Compact"/>
        <w:numPr>
          <w:ilvl w:val="0"/>
          <w:numId w:val="1015"/>
        </w:numPr>
      </w:pPr>
      <w:r>
        <w:t xml:space="preserve">Extract the flat release archive into a short path such as</w:t>
      </w:r>
      <w:r>
        <w:t xml:space="preserve"> </w:t>
      </w:r>
      <w:r>
        <w:rPr>
          <w:rStyle w:val="VerbatimChar"/>
        </w:rPr>
        <w:t xml:space="preserve">C:\COCOAID\P10</w:t>
      </w:r>
      <w:r>
        <w:t xml:space="preserve">.</w:t>
      </w:r>
    </w:p>
    <w:p>
      <w:pPr>
        <w:pStyle w:val="Compact"/>
        <w:numPr>
          <w:ilvl w:val="0"/>
          <w:numId w:val="1015"/>
        </w:numPr>
      </w:pPr>
      <w:r>
        <w:t xml:space="preserve">Run</w:t>
      </w:r>
      <w:r>
        <w:t xml:space="preserve"> </w:t>
      </w:r>
      <w:r>
        <w:rPr>
          <w:rStyle w:val="VerbatimChar"/>
        </w:rPr>
        <w:t xml:space="preserve">setup.bat</w:t>
      </w:r>
      <w:r>
        <w:t xml:space="preserve"> </w:t>
      </w:r>
      <w:r>
        <w:t xml:space="preserve">to create the external Python environment and apply migrations 1 through 10.</w:t>
      </w:r>
    </w:p>
    <w:p>
      <w:pPr>
        <w:pStyle w:val="Compact"/>
        <w:numPr>
          <w:ilvl w:val="0"/>
          <w:numId w:val="1015"/>
        </w:numPr>
      </w:pPr>
      <w:r>
        <w:t xml:space="preserve">Run</w:t>
      </w:r>
      <w:r>
        <w:t xml:space="preserve"> </w:t>
      </w:r>
      <w:r>
        <w:rPr>
          <w:rStyle w:val="VerbatimChar"/>
        </w:rPr>
        <w:t xml:space="preserve">test.bat</w:t>
      </w:r>
      <w:r>
        <w:t xml:space="preserve"> </w:t>
      </w:r>
      <w:r>
        <w:t xml:space="preserve">and require all 259 tests to pass.</w:t>
      </w:r>
    </w:p>
    <w:p>
      <w:pPr>
        <w:pStyle w:val="Compact"/>
        <w:numPr>
          <w:ilvl w:val="0"/>
          <w:numId w:val="1015"/>
        </w:numPr>
      </w:pPr>
      <w:r>
        <w:t xml:space="preserve">Run</w:t>
      </w:r>
      <w:r>
        <w:t xml:space="preserve"> </w:t>
      </w:r>
      <w:r>
        <w:rPr>
          <w:rStyle w:val="VerbatimChar"/>
        </w:rPr>
        <w:t xml:space="preserve">check_weather_provider.bat</w:t>
      </w:r>
      <w:r>
        <w:t xml:space="preserve"> </w:t>
      </w:r>
      <w:r>
        <w:t xml:space="preserve">to verify DNS, TLS, minimal provider access, and the complete weather request.</w:t>
      </w:r>
    </w:p>
    <w:p>
      <w:pPr>
        <w:pStyle w:val="Compact"/>
        <w:numPr>
          <w:ilvl w:val="0"/>
          <w:numId w:val="1015"/>
        </w:numPr>
      </w:pPr>
      <w:r>
        <w:t xml:space="preserve">Run</w:t>
      </w:r>
      <w:r>
        <w:t xml:space="preserve"> </w:t>
      </w:r>
      <w:r>
        <w:rPr>
          <w:rStyle w:val="VerbatimChar"/>
        </w:rPr>
        <w:t xml:space="preserve">run.bat</w:t>
      </w:r>
      <w:r>
        <w:t xml:space="preserve"> </w:t>
      </w:r>
      <w:r>
        <w:t xml:space="preserve">and verify</w:t>
      </w:r>
      <w:r>
        <w:t xml:space="preserve"> </w:t>
      </w:r>
      <w:r>
        <w:rPr>
          <w:rStyle w:val="VerbatimChar"/>
        </w:rPr>
        <w:t xml:space="preserve">/api/v2/health</w:t>
      </w:r>
      <w:r>
        <w:t xml:space="preserve">.</w:t>
      </w:r>
    </w:p>
    <w:p>
      <w:pPr>
        <w:pStyle w:val="Compact"/>
        <w:numPr>
          <w:ilvl w:val="0"/>
          <w:numId w:val="1015"/>
        </w:numPr>
      </w:pPr>
      <w:r>
        <w:t xml:space="preserve">Create or retrieve a Phase 9 decision-support run.</w:t>
      </w:r>
    </w:p>
    <w:p>
      <w:pPr>
        <w:pStyle w:val="Compact"/>
        <w:numPr>
          <w:ilvl w:val="0"/>
          <w:numId w:val="1015"/>
        </w:numPr>
      </w:pPr>
      <w:r>
        <w:t xml:space="preserve">Run</w:t>
      </w:r>
      <w:r>
        <w:t xml:space="preserve"> </w:t>
      </w:r>
      <w:r>
        <w:rPr>
          <w:rStyle w:val="VerbatimChar"/>
        </w:rPr>
        <w:t xml:space="preserve">run_phase10_workflow.bat</w:t>
      </w:r>
      <w:r>
        <w:t xml:space="preserve"> </w:t>
      </w:r>
      <w:r>
        <w:t xml:space="preserve">to generate a grounded narrative and both formal report formats.</w:t>
      </w:r>
    </w:p>
    <w:p>
      <w:pPr>
        <w:pStyle w:val="Compact"/>
        <w:numPr>
          <w:ilvl w:val="0"/>
          <w:numId w:val="1015"/>
        </w:numPr>
      </w:pPr>
      <w:r>
        <w:t xml:space="preserve">Preserve the database, backups, raw data, private settings, and manual outputs as restricted local artifacts.</w:t>
      </w:r>
    </w:p>
    <w:bookmarkEnd w:id="63"/>
    <w:bookmarkStart w:id="64" w:name="recommended-next-phase"/>
    <w:p>
      <w:pPr>
        <w:pStyle w:val="Heading1"/>
      </w:pPr>
      <w:r>
        <w:t xml:space="preserve">19. Recommended Next Phase</w:t>
      </w:r>
    </w:p>
    <w:p>
      <w:pPr>
        <w:pStyle w:val="FirstParagraph"/>
      </w:pPr>
      <w:r>
        <w:t xml:space="preserve">The next planned phase is the interface and user-experience rebuild. It should consume saved analytical records rather than duplicate formulas in the frontend. The UI should visibly distinguish observed, forecast, simulated, inferred, and confirmed values; expose uncertainty intervals and data quality; display scenario feasibility and traceability; and provide report downloads without revealing internal file paths.</w:t>
      </w:r>
    </w:p>
    <w:bookmarkEnd w:id="64"/>
    <w:bookmarkStart w:id="65" w:name="conclusion"/>
    <w:p>
      <w:pPr>
        <w:pStyle w:val="Heading1"/>
      </w:pPr>
      <w:r>
        <w:t xml:space="preserve">20. Conclusion</w:t>
      </w:r>
    </w:p>
    <w:p>
      <w:pPr>
        <w:pStyle w:val="FirstParagraph"/>
      </w:pPr>
      <w:r>
        <w:t xml:space="preserve">The Phase 0-to-10 engineering process converted COCOAID from a tightly coupled prototype into a versioned analytical network. The retained ML model supplies the baseline, the Bayesian simulator manages uncertain farm-state evolution, pest and intercropping engines produce specialized spatial assessments, the rehabilitation engine converts those assessments into feasible scenarios, the decision-support network creates one traceable record, and CoCO-PILOT explains and reports that record without becoming an independent source of agronomic truth.</w:t>
      </w:r>
    </w:p>
    <w:p>
      <w:pPr>
        <w:pStyle w:val="BodyText"/>
      </w:pPr>
      <w:r>
        <w:t xml:space="preserve">The central design principle is:</w:t>
      </w:r>
    </w:p>
    <w:p>
      <w:pPr>
        <w:pStyle w:val="BodyText"/>
      </w:pPr>
      <m:oMathPara>
        <m:oMathParaPr>
          <m:jc m:val="center"/>
        </m:oMathParaPr>
        <m:oMath>
          <m:r>
            <m:rPr>
              <m:nor/>
              <m:sty m:val="p"/>
            </m:rPr>
            <m:t>Prediction</m:t>
          </m:r>
          <m:r>
            <m:rPr>
              <m:sty m:val="p"/>
            </m:rPr>
            <m:t>≠</m:t>
          </m:r>
          <m:r>
            <m:rPr>
              <m:nor/>
              <m:sty m:val="p"/>
            </m:rPr>
            <m:t>Evidence</m:t>
          </m:r>
          <m:r>
            <m:rPr>
              <m:sty m:val="p"/>
            </m:rPr>
            <m:t>≠</m:t>
          </m:r>
          <m:r>
            <m:rPr>
              <m:nor/>
              <m:sty m:val="p"/>
            </m:rPr>
            <m:t>Decision</m:t>
          </m:r>
          <m:r>
            <m:rPr>
              <m:sty m:val="p"/>
            </m:rPr>
            <m:t>≠</m:t>
          </m:r>
          <m:r>
            <m:rPr>
              <m:nor/>
              <m:sty m:val="p"/>
            </m:rPr>
            <m:t>Explanation</m:t>
          </m:r>
        </m:oMath>
      </m:oMathPara>
    </w:p>
    <w:p>
      <w:pPr>
        <w:pStyle w:val="FirstParagraph"/>
      </w:pPr>
      <w:r>
        <w:t xml:space="preserve">Each layer has a separate contract, version, provenance record, and validation responsibility. That separation is the main reason the current system can be tested, reproduced, audited, and extended without silently changing its scientific meaning.</w:t>
      </w:r>
    </w:p>
    <w:bookmarkEnd w:id="65"/>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cs="Times New Roman" w:eastAsia="Times New Roman" w:hAnsi="Times New Roman"/>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Times New Roman" w:asciiTheme="majorHAnsi" w:cs="Times New Roman" w:cstheme="majorBidi" w:eastAsia="Times New Roman" w:eastAsiaTheme="majorEastAsia" w:hAnsi="Times New Roman" w:hAnsiTheme="majorHAnsi"/>
      <w:b/>
      <w:bCs/>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imes New Roman" w:cstheme="majorBidi" w:eastAsia="Times New Roman" w:eastAsiaTheme="majorEastAsia" w:hAnsi="Times New Roman" w:hAnsiTheme="majorHAnsi"/>
      <w:b/>
      <w:bCs/>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imes New Roman" w:cstheme="majorBidi" w:eastAsia="Times New Roman" w:eastAsiaTheme="majorEastAsia" w:hAnsi="Times New Roman" w:hAnsiTheme="majorHAnsi"/>
      <w:b/>
      <w:bCs/>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spacing w:after="300" w:line="240" w:lineRule="auto"/>
      <w:contextualSpacing/>
    </w:pPr>
    <w:rPr>
      <w:rFonts w:ascii="Times New Roman" w:asciiTheme="majorHAnsi" w:cs="Times New Roman" w:cstheme="majorBidi" w:eastAsia="Times New Roman" w:eastAsiaTheme="majorEastAsia" w:hAnsi="Times New Roman" w:hAnsiTheme="majorHAnsi"/>
      <w:b/>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imes New Roman" w:cstheme="majorBidi" w:eastAsia="Times New Roman" w:eastAsiaTheme="majorEastAsia" w:hAnsi="Times New Roman" w:hAnsiTheme="majorHAnsi"/>
      <w:b w:val="0"/>
      <w:i/>
      <w:iCs/>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cs="Times New Roman" w:eastAsia="Times New Roman" w:hAnsi="Times New Roman"/>
      <w:b w:val="0"/>
      <w:bCs/>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cs="Times New Roman" w:eastAsia="Times New Roman" w:hAnsi="Times New Roman"/>
      <w:b w:val="0"/>
      <w:bCs/>
      <w:i/>
      <w:iCs/>
      <w:sz w:val="22"/>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val="000000"/>
      </w:rPr>
      <w:tblP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tcPr>
    </w:tblStylePr>
    <w:tblStylePr w:type="firstCol">
      <w:rPr>
        <w:b/>
        <w:bCs/>
        <w:color w:val="000000"/>
      </w:rPr>
      <w:tblPr/>
      <w:tcPr>
        <w:tcBorders>
          <w:top w:val="nil"/>
          <w:left w:val="nil"/>
          <w:bottom w:color="auto" w:space="0" w:sz="18" w:val="single"/>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tblStylePr>
    <w:tblStylePr w:type="band1Horz">
      <w:tblP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tblStylePr>
    <w:tblStylePr w:type="band1Horz">
      <w:tblP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tblStylePr>
    <w:tblStylePr w:type="band1Horz">
      <w:tblP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tblStylePr>
    <w:tblStylePr w:type="band1Horz">
      <w:tblP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tblStylePr>
    <w:tblStylePr w:type="band1Horz">
      <w:tblP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tblStylePr>
    <w:tblStylePr w:type="band1Horz">
      <w:tblP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tblStylePr>
    <w:tblStylePr w:type="band1Horz">
      <w:tblP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tcPr>
    </w:tblStylePr>
    <w:tblStylePr w:type="lastRow">
      <w:tblPr/>
      <w:tcPr>
        <w:tcBorders>
          <w:top w:color="000000" w:space="0" w:sz="8" w:themeColor="text1" w:val="single"/>
          <w:left w:val="nil"/>
          <w:bottom w:val="nil"/>
          <w:right w:val="nil"/>
          <w:insideH w:val="nil"/>
          <w:insideV w:val="nil"/>
        </w:tcBorders>
      </w:tcPr>
    </w:tblStylePr>
    <w:tblStylePr w:type="firstCol">
      <w:tblPr/>
      <w:tcPr>
        <w:tcBorders>
          <w:top w:val="nil"/>
          <w:left w:val="nil"/>
          <w:bottom w:val="nil"/>
          <w:right w:color="000000" w:space="0" w:sz="8" w:themeColor="text1" w:val="single"/>
          <w:insideH w:val="nil"/>
          <w:insideV w:val="nil"/>
        </w:tcBorders>
      </w:tcPr>
    </w:tblStylePr>
    <w:tblStylePr w:type="lastCol">
      <w:tblPr/>
      <w:tcPr>
        <w:tcBorders>
          <w:top w:val="nil"/>
          <w:left w:color="000000" w:space="0" w:sz="8" w:themeColor="text1"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tcPr>
    </w:tblStylePr>
    <w:tblStylePr w:type="lastRow">
      <w:tblPr/>
      <w:tcPr>
        <w:tcBorders>
          <w:top w:color="4F81BD" w:space="0" w:sz="8" w:themeColor="accent1" w:val="single"/>
          <w:left w:val="nil"/>
          <w:bottom w:val="nil"/>
          <w:right w:val="nil"/>
          <w:insideH w:val="nil"/>
          <w:insideV w:val="nil"/>
        </w:tcBorders>
      </w:tcPr>
    </w:tblStylePr>
    <w:tblStylePr w:type="firstCol">
      <w:tblPr/>
      <w:tcPr>
        <w:tcBorders>
          <w:top w:val="nil"/>
          <w:left w:val="nil"/>
          <w:bottom w:val="nil"/>
          <w:right w:color="4F81BD" w:space="0" w:sz="8" w:themeColor="accent1" w:val="single"/>
          <w:insideH w:val="nil"/>
          <w:insideV w:val="nil"/>
        </w:tcBorders>
      </w:tcPr>
    </w:tblStylePr>
    <w:tblStylePr w:type="lastCol">
      <w:tblPr/>
      <w:tcPr>
        <w:tcBorders>
          <w:top w:val="nil"/>
          <w:left w:color="4F81BD" w:space="0" w:sz="8" w:themeColor="accent1"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tcPr>
    </w:tblStylePr>
    <w:tblStylePr w:type="lastRow">
      <w:tblPr/>
      <w:tcPr>
        <w:tcBorders>
          <w:top w:color="C0504D" w:space="0" w:sz="8" w:themeColor="accent2" w:val="single"/>
          <w:left w:val="nil"/>
          <w:bottom w:val="nil"/>
          <w:right w:val="nil"/>
          <w:insideH w:val="nil"/>
          <w:insideV w:val="nil"/>
        </w:tcBorders>
      </w:tcPr>
    </w:tblStylePr>
    <w:tblStylePr w:type="firstCol">
      <w:tblPr/>
      <w:tcPr>
        <w:tcBorders>
          <w:top w:val="nil"/>
          <w:left w:val="nil"/>
          <w:bottom w:val="nil"/>
          <w:right w:color="C0504D" w:space="0" w:sz="8" w:themeColor="accent2" w:val="single"/>
          <w:insideH w:val="nil"/>
          <w:insideV w:val="nil"/>
        </w:tcBorders>
      </w:tcPr>
    </w:tblStylePr>
    <w:tblStylePr w:type="lastCol">
      <w:tblPr/>
      <w:tcPr>
        <w:tcBorders>
          <w:top w:val="nil"/>
          <w:left w:color="C0504D" w:space="0" w:sz="8" w:themeColor="accent2"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tcPr>
    </w:tblStylePr>
    <w:tblStylePr w:type="lastRow">
      <w:tblPr/>
      <w:tcPr>
        <w:tcBorders>
          <w:top w:color="9BBB59" w:space="0" w:sz="8" w:themeColor="accent3" w:val="single"/>
          <w:left w:val="nil"/>
          <w:bottom w:val="nil"/>
          <w:right w:val="nil"/>
          <w:insideH w:val="nil"/>
          <w:insideV w:val="nil"/>
        </w:tcBorders>
      </w:tcPr>
    </w:tblStylePr>
    <w:tblStylePr w:type="firstCol">
      <w:tblPr/>
      <w:tcPr>
        <w:tcBorders>
          <w:top w:val="nil"/>
          <w:left w:val="nil"/>
          <w:bottom w:val="nil"/>
          <w:right w:color="9BBB59" w:space="0" w:sz="8" w:themeColor="accent3" w:val="single"/>
          <w:insideH w:val="nil"/>
          <w:insideV w:val="nil"/>
        </w:tcBorders>
      </w:tcPr>
    </w:tblStylePr>
    <w:tblStylePr w:type="lastCol">
      <w:tblPr/>
      <w:tcPr>
        <w:tcBorders>
          <w:top w:val="nil"/>
          <w:left w:color="9BBB59" w:space="0" w:sz="8" w:themeColor="accent3"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tcPr>
    </w:tblStylePr>
    <w:tblStylePr w:type="lastRow">
      <w:tblPr/>
      <w:tcPr>
        <w:tcBorders>
          <w:top w:color="8064A2" w:space="0" w:sz="8" w:themeColor="accent4" w:val="single"/>
          <w:left w:val="nil"/>
          <w:bottom w:val="nil"/>
          <w:right w:val="nil"/>
          <w:insideH w:val="nil"/>
          <w:insideV w:val="nil"/>
        </w:tcBorders>
      </w:tcPr>
    </w:tblStylePr>
    <w:tblStylePr w:type="firstCol">
      <w:tblPr/>
      <w:tcPr>
        <w:tcBorders>
          <w:top w:val="nil"/>
          <w:left w:val="nil"/>
          <w:bottom w:val="nil"/>
          <w:right w:color="8064A2" w:space="0" w:sz="8" w:themeColor="accent4" w:val="single"/>
          <w:insideH w:val="nil"/>
          <w:insideV w:val="nil"/>
        </w:tcBorders>
      </w:tcPr>
    </w:tblStylePr>
    <w:tblStylePr w:type="lastCol">
      <w:tblPr/>
      <w:tcPr>
        <w:tcBorders>
          <w:top w:val="nil"/>
          <w:left w:color="8064A2" w:space="0" w:sz="8" w:themeColor="accent4"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tcPr>
    </w:tblStylePr>
    <w:tblStylePr w:type="lastRow">
      <w:tblPr/>
      <w:tcPr>
        <w:tcBorders>
          <w:top w:color="4BACC6" w:space="0" w:sz="8" w:themeColor="accent5" w:val="single"/>
          <w:left w:val="nil"/>
          <w:bottom w:val="nil"/>
          <w:right w:val="nil"/>
          <w:insideH w:val="nil"/>
          <w:insideV w:val="nil"/>
        </w:tcBorders>
      </w:tcPr>
    </w:tblStylePr>
    <w:tblStylePr w:type="firstCol">
      <w:tblPr/>
      <w:tcPr>
        <w:tcBorders>
          <w:top w:val="nil"/>
          <w:left w:val="nil"/>
          <w:bottom w:val="nil"/>
          <w:right w:color="4BACC6" w:space="0" w:sz="8" w:themeColor="accent5" w:val="single"/>
          <w:insideH w:val="nil"/>
          <w:insideV w:val="nil"/>
        </w:tcBorders>
      </w:tcPr>
    </w:tblStylePr>
    <w:tblStylePr w:type="lastCol">
      <w:tblPr/>
      <w:tcPr>
        <w:tcBorders>
          <w:top w:val="nil"/>
          <w:left w:color="4BACC6" w:space="0" w:sz="8" w:themeColor="accent5"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tcPr>
    </w:tblStylePr>
    <w:tblStylePr w:type="lastRow">
      <w:tblPr/>
      <w:tcPr>
        <w:tcBorders>
          <w:top w:color="F79646" w:space="0" w:sz="8" w:themeColor="accent6" w:val="single"/>
          <w:left w:val="nil"/>
          <w:bottom w:val="nil"/>
          <w:right w:val="nil"/>
          <w:insideH w:val="nil"/>
          <w:insideV w:val="nil"/>
        </w:tcBorders>
      </w:tcPr>
    </w:tblStylePr>
    <w:tblStylePr w:type="firstCol">
      <w:tblPr/>
      <w:tcPr>
        <w:tcBorders>
          <w:top w:val="nil"/>
          <w:left w:val="nil"/>
          <w:bottom w:val="nil"/>
          <w:right w:color="F79646" w:space="0" w:sz="8" w:themeColor="accent6" w:val="single"/>
          <w:insideH w:val="nil"/>
          <w:insideV w:val="nil"/>
        </w:tcBorders>
      </w:tcPr>
    </w:tblStylePr>
    <w:tblStylePr w:type="lastCol">
      <w:tblPr/>
      <w:tcPr>
        <w:tcBorders>
          <w:top w:val="nil"/>
          <w:left w:color="F79646" w:space="0" w:sz="8" w:themeColor="accent6" w:val="single"/>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tblStylePr>
    <w:tblStylePr w:type="band1Horz">
      <w:tblP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000000" w:space="0" w:sz="6" w:themeColor="text1" w:val="single"/>
          <w:insideV w:color="000000" w:space="0" w:sz="6" w:themeColor="text1" w:val="single"/>
        </w:tcBorders>
      </w:tcPr>
    </w:tblStylePr>
    <w:tblStylePr w:type="nwCell">
      <w:tblP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4F81BD" w:space="0" w:sz="6" w:themeColor="accent1" w:val="single"/>
          <w:insideV w:color="4F81BD" w:space="0" w:sz="6" w:themeColor="accent1" w:val="single"/>
        </w:tcBorders>
      </w:tcPr>
    </w:tblStylePr>
    <w:tblStylePr w:type="nwCell">
      <w:tblP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C0504D" w:space="0" w:sz="6" w:themeColor="accent2" w:val="single"/>
          <w:insideV w:color="C0504D" w:space="0" w:sz="6" w:themeColor="accent2" w:val="single"/>
        </w:tcBorders>
      </w:tcPr>
    </w:tblStylePr>
    <w:tblStylePr w:type="nwCell">
      <w:tblP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9BBB59" w:space="0" w:sz="6" w:themeColor="accent3" w:val="single"/>
          <w:insideV w:color="9BBB59" w:space="0" w:sz="6" w:themeColor="accent3" w:val="single"/>
        </w:tcBorders>
      </w:tcPr>
    </w:tblStylePr>
    <w:tblStylePr w:type="nwCell">
      <w:tblP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8064A2" w:space="0" w:sz="6" w:themeColor="accent4" w:val="single"/>
          <w:insideV w:color="8064A2" w:space="0" w:sz="6" w:themeColor="accent4" w:val="single"/>
        </w:tcBorders>
      </w:tcPr>
    </w:tblStylePr>
    <w:tblStylePr w:type="nwCell">
      <w:tblP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4BACC6" w:space="0" w:sz="6" w:themeColor="accent5" w:val="single"/>
          <w:insideV w:color="4BACC6" w:space="0" w:sz="6" w:themeColor="accent5" w:val="single"/>
        </w:tcBorders>
      </w:tcPr>
    </w:tblStylePr>
    <w:tblStylePr w:type="nwCell">
      <w:tblP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tblStylePr w:type="firstRow">
      <w:rPr>
        <w:b/>
        <w:bCs/>
        <w:color w:val="000000"/>
      </w:rPr>
      <w:tblPr/>
      <w:tcPr/>
    </w:tblStylePr>
    <w:tblStylePr w:type="lastRow">
      <w:rPr>
        <w:b/>
        <w:bCs/>
        <w:color w:val="000000"/>
      </w:rPr>
      <w:tblPr/>
      <w:tcPr>
        <w:tcBorders>
          <w:top w:color="000000" w:space="0" w:sz="12" w:themeColor="text1" w:val="single"/>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color="F79646" w:space="0" w:sz="6" w:themeColor="accent6" w:val="single"/>
          <w:insideV w:color="F79646" w:space="0" w:sz="6" w:themeColor="accent6" w:val="single"/>
        </w:tcBorders>
      </w:tcPr>
    </w:tblStylePr>
    <w:tblStylePr w:type="nwCell">
      <w:tblP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rPr>
      <w:tblPr/>
      <w:tcPr>
        <w:tcBorders>
          <w:top w:val="nil"/>
          <w:left w:val="nil"/>
          <w:bottom w:color="FFFFFF" w:space="0" w:sz="18" w:themeColor="background1" w:val="single"/>
          <w:right w:val="nil"/>
          <w:insideH w:val="nil"/>
          <w:insideV w:val="nil"/>
        </w:tcBorders>
      </w:tcPr>
    </w:tblStylePr>
    <w:tblStylePr w:type="lastRow">
      <w:tblPr/>
      <w:tcPr>
        <w:tcBorders>
          <w:top w:color="FFFFFF" w:space="0" w:sz="18" w:themeColor="background1" w:val="single"/>
          <w:left w:val="nil"/>
          <w:bottom w:val="nil"/>
          <w:right w:val="nil"/>
          <w:insideH w:val="nil"/>
          <w:insideV w:val="nil"/>
        </w:tcBorders>
      </w:tcPr>
    </w:tblStylePr>
    <w:tblStylePr w:type="firstCol">
      <w:tblPr/>
      <w:tcPr>
        <w:tcBorders>
          <w:top w:val="nil"/>
          <w:left w:val="nil"/>
          <w:bottom w:val="nil"/>
          <w:right w:color="FFFFFF" w:space="0" w:sz="18" w:themeColor="background1" w:val="single"/>
          <w:insideH w:val="nil"/>
          <w:insideV w:val="nil"/>
        </w:tcBorders>
      </w:tcPr>
    </w:tblStylePr>
    <w:tblStylePr w:type="lastCol">
      <w:tblPr/>
      <w:tcPr>
        <w:tcBorders>
          <w:top w:val="nil"/>
          <w:left w:color="FFFFFF" w:space="0" w:sz="18" w:themeColor="background1" w:val="single"/>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C0504D" w:space="0" w:sz="24" w:themeColor="accent2"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000000" w:space="0" w:sz="4" w:themeColor="text1"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C0504D" w:space="0" w:sz="24" w:themeColor="accent2"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2C4C74" w:space="0" w:sz="4" w:themeColor="accent1"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C0504D" w:space="0" w:sz="24" w:themeColor="accent2"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772C2A" w:space="0" w:sz="4" w:themeColor="accent2"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8064A2" w:space="0" w:sz="24" w:themeColor="accent4"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5E7530" w:space="0" w:sz="4" w:themeColor="accent3"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9BBB59" w:space="0" w:sz="24" w:themeColor="accent3"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4C3B62" w:space="0" w:sz="4" w:themeColor="accent4"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F79646" w:space="0" w:sz="24" w:themeColor="accent6"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276A7C" w:space="0" w:sz="4" w:themeColor="accent5"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tblStylePr w:type="firstRow">
      <w:rPr>
        <w:b/>
        <w:bCs/>
      </w:rPr>
      <w:tblPr/>
      <w:tcPr>
        <w:tcBorders>
          <w:top w:val="nil"/>
          <w:left w:val="nil"/>
          <w:bottom w:color="4BACC6" w:space="0" w:sz="24" w:themeColor="accent5" w:val="single"/>
          <w:right w:val="nil"/>
          <w:insideH w:val="nil"/>
          <w:insideV w:val="nil"/>
        </w:tcBorders>
      </w:tcPr>
    </w:tblStylePr>
    <w:tblStylePr w:type="lastRow">
      <w:rPr>
        <w:b/>
        <w:bCs/>
        <w:color w:val="000000"/>
      </w:rPr>
      <w:tblPr/>
      <w:tcPr>
        <w:tcBorders>
          <w:top w:color="FFFFFF" w:space="0" w:sz="6" w:themeColor="background1" w:val="single"/>
        </w:tcBorders>
      </w:tcPr>
    </w:tblStylePr>
    <w:tblStylePr w:type="firstCol">
      <w:rPr>
        <w:color w:val="000000"/>
      </w:rPr>
      <w:tblPr/>
      <w:tcPr>
        <w:tcBorders>
          <w:top w:val="nil"/>
          <w:left w:val="nil"/>
          <w:bottom w:val="nil"/>
          <w:right w:val="nil"/>
          <w:insideH w:color="B65608" w:space="0" w:sz="4" w:themeColor="accent6" w:themeShade="99" w:val="single"/>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tblStylePr w:type="firstRow">
      <w:rPr>
        <w:b/>
        <w:bCs/>
        <w:color w:val="000000"/>
      </w:rPr>
      <w:tblPr/>
      <w:tcPr>
        <w:tcBorders>
          <w:bottom w:color="FFFFFF" w:space="0" w:sz="12" w:themeColor="background1" w:val="single"/>
        </w:tcBorders>
      </w:tcPr>
    </w:tblStylePr>
    <w:tblStylePr w:type="lastRow">
      <w:rPr>
        <w:b/>
        <w:bCs/>
        <w:color w:val="000000"/>
      </w:rPr>
      <w:tblPr/>
      <w:tcPr>
        <w:tcBorders>
          <w:top w:color="000000" w:space="0" w:sz="12"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COCOAID Detailed Engineering Process Report</dc:title>
  <dc:creator>COCOAID Research Prototype</dc:creator>
  <dc:language>en-US</dc:language>
  <cp:keywords/>
  <dcterms:created xsi:type="dcterms:W3CDTF">2026-08-04T06:27:41Z</dcterms:created>
  <dcterms:modified xsi:type="dcterms:W3CDTF">2026-08-04T06:27:41Z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August 2026</vt:lpwstr>
  </property>
  <property fmtid="{D5CDD505-2E9C-101B-9397-08002B2CF9AE}" pid="3" name="subtitle">
    <vt:lpwstr>Phases 0 to 10: Architecture, Data Contracts, Analytical Engines, Decision Support, CoCO-PILOT, and Formal Reporting</vt:lpwstr>
  </property>
</Properties>
</file>