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rFonts w:ascii="Times New Roman" w:hAnsi="Times New Roman" w:eastAsia="Times New Roman"/>
          <w:b/>
          <w:sz w:val="48"/>
        </w:rPr>
        <w:t>COCOAID</w:t>
      </w:r>
    </w:p>
    <w:p>
      <w:pPr>
        <w:spacing w:before="360"/>
        <w:jc w:val="center"/>
      </w:pPr>
      <w:r>
        <w:rPr>
          <w:rFonts w:ascii="Times New Roman" w:hAnsi="Times New Roman" w:eastAsia="Times New Roman"/>
          <w:b/>
          <w:sz w:val="28"/>
        </w:rPr>
        <w:t>COCOAID: Bayesian Probabilistic Agroecosystem Simulation and Geospatial AI-Based Decision-Support Framework Using Machine Learning for Coconut Rehabilitation, Intercropping Potential Modeling, Pest-Risk Inference, and Long-Term Productivity Forecasting</w:t>
      </w:r>
    </w:p>
    <w:p>
      <w:pPr>
        <w:spacing w:before="680"/>
        <w:jc w:val="center"/>
      </w:pPr>
      <w:r>
        <w:rPr>
          <w:rFonts w:ascii="Times New Roman" w:hAnsi="Times New Roman" w:eastAsia="Times New Roman"/>
          <w:b/>
          <w:sz w:val="32"/>
        </w:rPr>
        <w:t>Detailed Engineering Process Report</w:t>
      </w:r>
    </w:p>
    <w:p>
      <w:pPr>
        <w:jc w:val="center"/>
      </w:pPr>
      <w:r>
        <w:rPr>
          <w:rFonts w:ascii="Times New Roman" w:hAnsi="Times New Roman" w:eastAsia="Times New Roman"/>
          <w:sz w:val="26"/>
        </w:rPr>
        <w:t>Development Phases 0 through 9</w:t>
      </w:r>
    </w:p>
    <w:p>
      <w:pPr>
        <w:spacing w:before="1400"/>
        <w:jc w:val="center"/>
      </w:pPr>
      <w:r>
        <w:rPr>
          <w:rFonts w:ascii="Times New Roman" w:hAnsi="Times New Roman" w:eastAsia="Times New Roman"/>
          <w:b/>
        </w:rPr>
        <w:t>Research and Software Engineering Record</w:t>
      </w:r>
    </w:p>
    <w:p>
      <w:pPr>
        <w:jc w:val="center"/>
      </w:pPr>
      <w:r>
        <w:rPr>
          <w:rFonts w:ascii="Times New Roman" w:hAnsi="Times New Roman" w:eastAsia="Times New Roman"/>
        </w:rPr>
        <w:t>Prepared as of 4 August 2026</w:t>
      </w:r>
    </w:p>
    <w:p>
      <w:pPr>
        <w:spacing w:before="1600"/>
        <w:jc w:val="center"/>
      </w:pPr>
      <w:r>
        <w:rPr>
          <w:rFonts w:ascii="Times New Roman" w:hAnsi="Times New Roman" w:eastAsia="Times New Roman"/>
          <w:i/>
        </w:rPr>
        <w:t>Document style: Times New Roman, monochrome, formula notation in LaTeX format</w:t>
      </w:r>
    </w:p>
    <w:p>
      <w:r>
        <w:rPr>
          <w:rFonts w:ascii="Times New Roman" w:hAnsi="Times New Roman" w:eastAsia="Times New Roman"/>
        </w:rPr>
        <w:br w:type="page"/>
      </w:r>
    </w:p>
    <w:p>
      <w:pPr>
        <w:pStyle w:val="Heading1"/>
        <w:keepNext/>
      </w:pPr>
      <w:r>
        <w:rPr>
          <w:rFonts w:ascii="Times New Roman" w:hAnsi="Times New Roman" w:eastAsia="Times New Roman"/>
        </w:rPr>
        <w:t>Document Control</w:t>
      </w:r>
    </w:p>
    <w:tbl>
      <w:tblPr>
        <w:tblW w:type="auto" w:w="0"/>
        <w:jc w:val="center"/>
        <w:tblLayout w:type="autofit"/>
        <w:tblLook w:firstColumn="1" w:firstRow="1" w:lastColumn="0" w:lastRow="0" w:noHBand="0" w:noVBand="1" w:val="04A0"/>
      </w:tblPr>
      <w:tblGrid>
        <w:gridCol w:w="4824"/>
        <w:gridCol w:w="4824"/>
      </w:tblGrid>
      <w:tr>
        <w:trPr>
          <w:tblHeader w:val="true"/>
        </w:trPr>
        <w:tc>
          <w:tcPr>
            <w:tcW w:type="dxa" w:w="4824"/>
            <w:vAlign w:val="center"/>
            <w:tcBorders>
              <w:top w:val="single" w:sz="4" w:color="000000"/>
              <w:left w:val="single" w:sz="4" w:color="000000"/>
              <w:bottom w:val="single" w:sz="4" w:color="000000"/>
              <w:right w:val="single" w:sz="4" w:color="000000"/>
            </w:tcBorders>
          </w:tcPr>
          <w:p>
            <w:pPr>
              <w:jc w:val="center"/>
            </w:pPr>
            <w:r>
              <w:rPr>
                <w:rFonts w:ascii="Times New Roman" w:hAnsi="Times New Roman" w:eastAsia="Times New Roman"/>
                <w:b/>
                <w:sz w:val="19"/>
              </w:rPr>
              <w:t>Field</w:t>
            </w:r>
          </w:p>
        </w:tc>
        <w:tc>
          <w:tcPr>
            <w:tcW w:type="dxa" w:w="4824"/>
            <w:vAlign w:val="center"/>
            <w:tcBorders>
              <w:top w:val="single" w:sz="4" w:color="000000"/>
              <w:left w:val="single" w:sz="4" w:color="000000"/>
              <w:bottom w:val="single" w:sz="4" w:color="000000"/>
              <w:right w:val="single" w:sz="4" w:color="000000"/>
            </w:tcBorders>
          </w:tcPr>
          <w:p>
            <w:pPr>
              <w:jc w:val="center"/>
            </w:pPr>
            <w:r>
              <w:rPr>
                <w:rFonts w:ascii="Times New Roman" w:hAnsi="Times New Roman" w:eastAsia="Times New Roman"/>
                <w:b/>
                <w:sz w:val="19"/>
              </w:rPr>
              <w:t>Value</w:t>
            </w:r>
          </w:p>
        </w:tc>
      </w:tr>
      <w:tr>
        <w:tc>
          <w:tcPr>
            <w:tcW w:type="dxa" w:w="4824"/>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Product name</w:t>
            </w:r>
          </w:p>
        </w:tc>
        <w:tc>
          <w:tcPr>
            <w:tcW w:type="dxa" w:w="4824"/>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COCOAID</w:t>
            </w:r>
          </w:p>
        </w:tc>
      </w:tr>
      <w:tr>
        <w:tc>
          <w:tcPr>
            <w:tcW w:type="dxa" w:w="4824"/>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Research title</w:t>
            </w:r>
          </w:p>
        </w:tc>
        <w:tc>
          <w:tcPr>
            <w:tcW w:type="dxa" w:w="4824"/>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COCOAID: Bayesian Probabilistic Agroecosystem Simulation and Geospatial AI-Based Decision-Support Framework Using Machine Learning for Coconut Rehabilitation, Intercropping Potential Modeling, Pest-Risk Inference, and Long-Term Productivity Forecasting</w:t>
            </w:r>
          </w:p>
        </w:tc>
      </w:tr>
      <w:tr>
        <w:tc>
          <w:tcPr>
            <w:tcW w:type="dxa" w:w="4824"/>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Legacy baseline</w:t>
            </w:r>
          </w:p>
        </w:tc>
        <w:tc>
          <w:tcPr>
            <w:tcW w:type="dxa" w:w="4824"/>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COCO-AID Research Prototype v2.11.0</w:t>
            </w:r>
          </w:p>
        </w:tc>
      </w:tr>
      <w:tr>
        <w:tc>
          <w:tcPr>
            <w:tcW w:type="dxa" w:w="4824"/>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Current contract API</w:t>
            </w:r>
          </w:p>
        </w:tc>
        <w:tc>
          <w:tcPr>
            <w:tcW w:type="dxa" w:w="4824"/>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3.0.0-draft.9</w:t>
            </w:r>
          </w:p>
        </w:tc>
      </w:tr>
      <w:tr>
        <w:tc>
          <w:tcPr>
            <w:tcW w:type="dxa" w:w="4824"/>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Current completed phase</w:t>
            </w:r>
          </w:p>
        </w:tc>
        <w:tc>
          <w:tcPr>
            <w:tcW w:type="dxa" w:w="4824"/>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Phase 9: Integrated Decision-Support Network</w:t>
            </w:r>
          </w:p>
        </w:tc>
      </w:tr>
      <w:tr>
        <w:tc>
          <w:tcPr>
            <w:tcW w:type="dxa" w:w="4824"/>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Current release engine</w:t>
            </w:r>
          </w:p>
        </w:tc>
        <w:tc>
          <w:tcPr>
            <w:tcW w:type="dxa" w:w="4824"/>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v3.decision_support 1.0.0</w:t>
            </w:r>
          </w:p>
        </w:tc>
      </w:tr>
      <w:tr>
        <w:tc>
          <w:tcPr>
            <w:tcW w:type="dxa" w:w="4824"/>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Database migration level</w:t>
            </w:r>
          </w:p>
        </w:tc>
        <w:tc>
          <w:tcPr>
            <w:tcW w:type="dxa" w:w="4824"/>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Migration 9</w:t>
            </w:r>
          </w:p>
        </w:tc>
      </w:tr>
      <w:tr>
        <w:tc>
          <w:tcPr>
            <w:tcW w:type="dxa" w:w="4824"/>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Test inventory</w:t>
            </w:r>
          </w:p>
        </w:tc>
        <w:tc>
          <w:tcPr>
            <w:tcW w:type="dxa" w:w="4824"/>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252 tests covering all 79 test files in five clean pytest processes</w:t>
            </w:r>
          </w:p>
        </w:tc>
      </w:tr>
      <w:tr>
        <w:tc>
          <w:tcPr>
            <w:tcW w:type="dxa" w:w="4824"/>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Primary runtime target</w:t>
            </w:r>
          </w:p>
        </w:tc>
        <w:tc>
          <w:tcPr>
            <w:tcW w:type="dxa" w:w="4824"/>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Windows, Python 3.11, FastAPI, SQLite</w:t>
            </w:r>
          </w:p>
        </w:tc>
      </w:tr>
      <w:tr>
        <w:tc>
          <w:tcPr>
            <w:tcW w:type="dxa" w:w="4824"/>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Confidentiality note</w:t>
            </w:r>
          </w:p>
        </w:tc>
        <w:tc>
          <w:tcPr>
            <w:tcW w:type="dxa" w:w="4824"/>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Raw farmer names, local databases, backups, and source workbooks remain restricted.</w:t>
            </w:r>
          </w:p>
        </w:tc>
      </w:tr>
    </w:tbl>
    <w:p>
      <w:pPr>
        <w:spacing w:after="0"/>
      </w:pPr>
    </w:p>
    <w:p>
      <w:pPr>
        <w:pStyle w:val="Heading2"/>
        <w:keepNext/>
      </w:pPr>
      <w:r>
        <w:rPr>
          <w:rFonts w:ascii="Times New Roman" w:hAnsi="Times New Roman" w:eastAsia="Times New Roman"/>
        </w:rPr>
        <w:t>Purpose of This Report</w:t>
      </w:r>
    </w:p>
    <w:p>
      <w:pPr>
        <w:spacing w:after="120" w:line="240" w:lineRule="auto"/>
      </w:pPr>
      <w:r>
        <w:rPr>
          <w:rFonts w:ascii="Times New Roman" w:hAnsi="Times New Roman" w:eastAsia="Times New Roman"/>
        </w:rPr>
        <w:t>This report records the engineering process used to transform the existing COCO-AID v2.11 research prototype into the modular COCOAID v3 architecture through Phase 9. It explains the decisions, interfaces, migrations, mathematical assumptions, tests, safety controls, and reproducibility mechanisms implemented during the rehaul.</w:t>
      </w:r>
    </w:p>
    <w:p>
      <w:pPr>
        <w:spacing w:after="120" w:line="240" w:lineRule="auto"/>
      </w:pPr>
      <w:r>
        <w:rPr>
          <w:rFonts w:ascii="Times New Roman" w:hAnsi="Times New Roman" w:eastAsia="Times New Roman"/>
        </w:rPr>
        <w:t>The report is not a claim that all agricultural models are field validated. It distinguishes software verification from scientific validation and identifies where PCA reference data, development assumptions, synthetic model artifacts, and real farm observations enter the system.</w:t>
      </w:r>
    </w:p>
    <w:p>
      <w:pPr>
        <w:pStyle w:val="Heading1"/>
        <w:keepNext/>
      </w:pPr>
      <w:r>
        <w:rPr>
          <w:rFonts w:ascii="Times New Roman" w:hAnsi="Times New Roman" w:eastAsia="Times New Roman"/>
        </w:rPr>
        <w:t>Table of Contents</w:t>
      </w:r>
    </w:p>
    <w:tbl>
      <w:tblPr>
        <w:tblW w:type="auto" w:w="0"/>
        <w:jc w:val="center"/>
        <w:tblLayout w:type="fixed"/>
        <w:tblLook w:firstColumn="1" w:firstRow="1" w:lastColumn="0" w:lastRow="0" w:noHBand="0" w:noVBand="1" w:val="04A0"/>
      </w:tblPr>
      <w:tblGrid>
        <w:gridCol w:w="4680"/>
        <w:gridCol w:w="4680"/>
      </w:tblGrid>
      <w:tr>
        <w:tc>
          <w:tcPr>
            <w:tcW w:type="dxa" w:w="4680"/>
            <w:tcBorders>
              <w:top w:val="nil"/>
              <w:left w:val="nil"/>
              <w:bottom w:val="nil"/>
              <w:right w:val="nil"/>
              <w:insideH w:val="nil"/>
              <w:insideV w:val="nil"/>
            </w:tcBorders>
          </w:tcPr>
          <w:p>
            <w:pPr>
              <w:spacing w:after="20"/>
            </w:pPr>
            <w:r>
              <w:rPr>
                <w:rFonts w:ascii="Times New Roman" w:hAnsi="Times New Roman" w:eastAsia="Times New Roman"/>
                <w:sz w:val="19"/>
              </w:rPr>
              <w:t>1. Executive Summary</w:t>
            </w:r>
          </w:p>
        </w:tc>
        <w:tc>
          <w:tcPr>
            <w:tcW w:type="dxa" w:w="4680"/>
            <w:tcBorders>
              <w:top w:val="nil"/>
              <w:left w:val="nil"/>
              <w:bottom w:val="nil"/>
              <w:right w:val="nil"/>
              <w:insideH w:val="nil"/>
              <w:insideV w:val="nil"/>
            </w:tcBorders>
          </w:tcPr>
          <w:p>
            <w:pPr>
              <w:spacing w:after="20"/>
            </w:pPr>
            <w:r>
              <w:rPr>
                <w:rFonts w:ascii="Times New Roman" w:hAnsi="Times New Roman" w:eastAsia="Times New Roman"/>
                <w:sz w:val="19"/>
              </w:rPr>
              <w:t>13. Phase 7: Intercropping Potential</w:t>
            </w:r>
          </w:p>
        </w:tc>
      </w:tr>
      <w:tr>
        <w:tc>
          <w:tcPr>
            <w:tcW w:type="dxa" w:w="4680"/>
            <w:tcBorders>
              <w:top w:val="nil"/>
              <w:left w:val="nil"/>
              <w:bottom w:val="nil"/>
              <w:right w:val="nil"/>
              <w:insideH w:val="nil"/>
              <w:insideV w:val="nil"/>
            </w:tcBorders>
          </w:tcPr>
          <w:p>
            <w:pPr>
              <w:spacing w:after="20"/>
            </w:pPr>
            <w:r>
              <w:rPr>
                <w:rFonts w:ascii="Times New Roman" w:hAnsi="Times New Roman" w:eastAsia="Times New Roman"/>
                <w:sz w:val="19"/>
              </w:rPr>
              <w:t>2. Revised Project Identity and Scope</w:t>
            </w:r>
          </w:p>
        </w:tc>
        <w:tc>
          <w:tcPr>
            <w:tcW w:type="dxa" w:w="4680"/>
            <w:tcBorders>
              <w:top w:val="nil"/>
              <w:left w:val="nil"/>
              <w:bottom w:val="nil"/>
              <w:right w:val="nil"/>
              <w:insideH w:val="nil"/>
              <w:insideV w:val="nil"/>
            </w:tcBorders>
          </w:tcPr>
          <w:p>
            <w:pPr>
              <w:spacing w:after="20"/>
            </w:pPr>
            <w:r>
              <w:rPr>
                <w:rFonts w:ascii="Times New Roman" w:hAnsi="Times New Roman" w:eastAsia="Times New Roman"/>
                <w:sz w:val="19"/>
              </w:rPr>
              <w:t>14. Phase 8: Rehabilitation and Scenario Optimization</w:t>
            </w:r>
          </w:p>
        </w:tc>
      </w:tr>
      <w:tr>
        <w:tc>
          <w:tcPr>
            <w:tcW w:type="dxa" w:w="4680"/>
            <w:tcBorders>
              <w:top w:val="nil"/>
              <w:left w:val="nil"/>
              <w:bottom w:val="nil"/>
              <w:right w:val="nil"/>
              <w:insideH w:val="nil"/>
              <w:insideV w:val="nil"/>
            </w:tcBorders>
          </w:tcPr>
          <w:p>
            <w:pPr>
              <w:spacing w:after="20"/>
            </w:pPr>
            <w:r>
              <w:rPr>
                <w:rFonts w:ascii="Times New Roman" w:hAnsi="Times New Roman" w:eastAsia="Times New Roman"/>
                <w:sz w:val="19"/>
              </w:rPr>
              <w:t>3. Engineering Governance and Development Controls</w:t>
            </w:r>
          </w:p>
        </w:tc>
        <w:tc>
          <w:tcPr>
            <w:tcW w:type="dxa" w:w="4680"/>
            <w:tcBorders>
              <w:top w:val="nil"/>
              <w:left w:val="nil"/>
              <w:bottom w:val="nil"/>
              <w:right w:val="nil"/>
              <w:insideH w:val="nil"/>
              <w:insideV w:val="nil"/>
            </w:tcBorders>
          </w:tcPr>
          <w:p>
            <w:pPr>
              <w:spacing w:after="20"/>
            </w:pPr>
            <w:r>
              <w:rPr>
                <w:rFonts w:ascii="Times New Roman" w:hAnsi="Times New Roman" w:eastAsia="Times New Roman"/>
                <w:sz w:val="19"/>
              </w:rPr>
              <w:t>15. Phase 9: Integrated Decision-Support Network</w:t>
            </w:r>
          </w:p>
        </w:tc>
      </w:tr>
      <w:tr>
        <w:tc>
          <w:tcPr>
            <w:tcW w:type="dxa" w:w="4680"/>
            <w:tcBorders>
              <w:top w:val="nil"/>
              <w:left w:val="nil"/>
              <w:bottom w:val="nil"/>
              <w:right w:val="nil"/>
              <w:insideH w:val="nil"/>
              <w:insideV w:val="nil"/>
            </w:tcBorders>
          </w:tcPr>
          <w:p>
            <w:pPr>
              <w:spacing w:after="20"/>
            </w:pPr>
            <w:r>
              <w:rPr>
                <w:rFonts w:ascii="Times New Roman" w:hAnsi="Times New Roman" w:eastAsia="Times New Roman"/>
                <w:sz w:val="19"/>
              </w:rPr>
              <w:t>4. Baseline System Audit</w:t>
            </w:r>
          </w:p>
        </w:tc>
        <w:tc>
          <w:tcPr>
            <w:tcW w:type="dxa" w:w="4680"/>
            <w:tcBorders>
              <w:top w:val="nil"/>
              <w:left w:val="nil"/>
              <w:bottom w:val="nil"/>
              <w:right w:val="nil"/>
              <w:insideH w:val="nil"/>
              <w:insideV w:val="nil"/>
            </w:tcBorders>
          </w:tcPr>
          <w:p>
            <w:pPr>
              <w:spacing w:after="20"/>
            </w:pPr>
            <w:r>
              <w:rPr>
                <w:rFonts w:ascii="Times New Roman" w:hAnsi="Times New Roman" w:eastAsia="Times New Roman"/>
                <w:sz w:val="19"/>
              </w:rPr>
              <w:t>16. Database Migration Strategy</w:t>
            </w:r>
          </w:p>
        </w:tc>
      </w:tr>
      <w:tr>
        <w:tc>
          <w:tcPr>
            <w:tcW w:type="dxa" w:w="4680"/>
            <w:tcBorders>
              <w:top w:val="nil"/>
              <w:left w:val="nil"/>
              <w:bottom w:val="nil"/>
              <w:right w:val="nil"/>
              <w:insideH w:val="nil"/>
              <w:insideV w:val="nil"/>
            </w:tcBorders>
          </w:tcPr>
          <w:p>
            <w:pPr>
              <w:spacing w:after="20"/>
            </w:pPr>
            <w:r>
              <w:rPr>
                <w:rFonts w:ascii="Times New Roman" w:hAnsi="Times New Roman" w:eastAsia="Times New Roman"/>
                <w:sz w:val="19"/>
              </w:rPr>
              <w:t>5. Target Architecture and Data Flow</w:t>
            </w:r>
          </w:p>
        </w:tc>
        <w:tc>
          <w:tcPr>
            <w:tcW w:type="dxa" w:w="4680"/>
            <w:tcBorders>
              <w:top w:val="nil"/>
              <w:left w:val="nil"/>
              <w:bottom w:val="nil"/>
              <w:right w:val="nil"/>
              <w:insideH w:val="nil"/>
              <w:insideV w:val="nil"/>
            </w:tcBorders>
          </w:tcPr>
          <w:p>
            <w:pPr>
              <w:spacing w:after="20"/>
            </w:pPr>
            <w:r>
              <w:rPr>
                <w:rFonts w:ascii="Times New Roman" w:hAnsi="Times New Roman" w:eastAsia="Times New Roman"/>
                <w:sz w:val="19"/>
              </w:rPr>
              <w:t>17. API and Contract Strategy</w:t>
            </w:r>
          </w:p>
        </w:tc>
      </w:tr>
      <w:tr>
        <w:tc>
          <w:tcPr>
            <w:tcW w:type="dxa" w:w="4680"/>
            <w:tcBorders>
              <w:top w:val="nil"/>
              <w:left w:val="nil"/>
              <w:bottom w:val="nil"/>
              <w:right w:val="nil"/>
              <w:insideH w:val="nil"/>
              <w:insideV w:val="nil"/>
            </w:tcBorders>
          </w:tcPr>
          <w:p>
            <w:pPr>
              <w:spacing w:after="20"/>
            </w:pPr>
            <w:r>
              <w:rPr>
                <w:rFonts w:ascii="Times New Roman" w:hAnsi="Times New Roman" w:eastAsia="Times New Roman"/>
                <w:sz w:val="19"/>
              </w:rPr>
              <w:t>6. Phase 0: Baseline Preservation and Audit</w:t>
            </w:r>
          </w:p>
        </w:tc>
        <w:tc>
          <w:tcPr>
            <w:tcW w:type="dxa" w:w="4680"/>
            <w:tcBorders>
              <w:top w:val="nil"/>
              <w:left w:val="nil"/>
              <w:bottom w:val="nil"/>
              <w:right w:val="nil"/>
              <w:insideH w:val="nil"/>
              <w:insideV w:val="nil"/>
            </w:tcBorders>
          </w:tcPr>
          <w:p>
            <w:pPr>
              <w:spacing w:after="20"/>
            </w:pPr>
            <w:r>
              <w:rPr>
                <w:rFonts w:ascii="Times New Roman" w:hAnsi="Times New Roman" w:eastAsia="Times New Roman"/>
                <w:sz w:val="19"/>
              </w:rPr>
              <w:t>18. Testing and Verification</w:t>
            </w:r>
          </w:p>
        </w:tc>
      </w:tr>
      <w:tr>
        <w:tc>
          <w:tcPr>
            <w:tcW w:type="dxa" w:w="4680"/>
            <w:tcBorders>
              <w:top w:val="nil"/>
              <w:left w:val="nil"/>
              <w:bottom w:val="nil"/>
              <w:right w:val="nil"/>
              <w:insideH w:val="nil"/>
              <w:insideV w:val="nil"/>
            </w:tcBorders>
          </w:tcPr>
          <w:p>
            <w:pPr>
              <w:spacing w:after="20"/>
            </w:pPr>
            <w:r>
              <w:rPr>
                <w:rFonts w:ascii="Times New Roman" w:hAnsi="Times New Roman" w:eastAsia="Times New Roman"/>
                <w:sz w:val="19"/>
              </w:rPr>
              <w:t>7. Phase 1: Core Architecture and Data Contracts</w:t>
            </w:r>
          </w:p>
        </w:tc>
        <w:tc>
          <w:tcPr>
            <w:tcW w:type="dxa" w:w="4680"/>
            <w:tcBorders>
              <w:top w:val="nil"/>
              <w:left w:val="nil"/>
              <w:bottom w:val="nil"/>
              <w:right w:val="nil"/>
              <w:insideH w:val="nil"/>
              <w:insideV w:val="nil"/>
            </w:tcBorders>
          </w:tcPr>
          <w:p>
            <w:pPr>
              <w:spacing w:after="20"/>
            </w:pPr>
            <w:r>
              <w:rPr>
                <w:rFonts w:ascii="Times New Roman" w:hAnsi="Times New Roman" w:eastAsia="Times New Roman"/>
                <w:sz w:val="19"/>
              </w:rPr>
              <w:t>19. Privacy and Security Controls</w:t>
            </w:r>
          </w:p>
        </w:tc>
      </w:tr>
      <w:tr>
        <w:tc>
          <w:tcPr>
            <w:tcW w:type="dxa" w:w="4680"/>
            <w:tcBorders>
              <w:top w:val="nil"/>
              <w:left w:val="nil"/>
              <w:bottom w:val="nil"/>
              <w:right w:val="nil"/>
              <w:insideH w:val="nil"/>
              <w:insideV w:val="nil"/>
            </w:tcBorders>
          </w:tcPr>
          <w:p>
            <w:pPr>
              <w:spacing w:after="20"/>
            </w:pPr>
            <w:r>
              <w:rPr>
                <w:rFonts w:ascii="Times New Roman" w:hAnsi="Times New Roman" w:eastAsia="Times New Roman"/>
                <w:sz w:val="19"/>
              </w:rPr>
              <w:t>8. Phase 2: Data Foundation and PCA Registry</w:t>
            </w:r>
          </w:p>
        </w:tc>
        <w:tc>
          <w:tcPr>
            <w:tcW w:type="dxa" w:w="4680"/>
            <w:tcBorders>
              <w:top w:val="nil"/>
              <w:left w:val="nil"/>
              <w:bottom w:val="nil"/>
              <w:right w:val="nil"/>
              <w:insideH w:val="nil"/>
              <w:insideV w:val="nil"/>
            </w:tcBorders>
          </w:tcPr>
          <w:p>
            <w:pPr>
              <w:spacing w:after="20"/>
            </w:pPr>
            <w:r>
              <w:rPr>
                <w:rFonts w:ascii="Times New Roman" w:hAnsi="Times New Roman" w:eastAsia="Times New Roman"/>
                <w:sz w:val="19"/>
              </w:rPr>
              <w:t>20. Scientific Limitations and Validation Plan</w:t>
            </w:r>
          </w:p>
        </w:tc>
      </w:tr>
      <w:tr>
        <w:tc>
          <w:tcPr>
            <w:tcW w:type="dxa" w:w="4680"/>
            <w:tcBorders>
              <w:top w:val="nil"/>
              <w:left w:val="nil"/>
              <w:bottom w:val="nil"/>
              <w:right w:val="nil"/>
              <w:insideH w:val="nil"/>
              <w:insideV w:val="nil"/>
            </w:tcBorders>
          </w:tcPr>
          <w:p>
            <w:pPr>
              <w:spacing w:after="20"/>
            </w:pPr>
            <w:r>
              <w:rPr>
                <w:rFonts w:ascii="Times New Roman" w:hAnsi="Times New Roman" w:eastAsia="Times New Roman"/>
                <w:sz w:val="19"/>
              </w:rPr>
              <w:t>9. Phase 3: Weather Assimilation</w:t>
            </w:r>
          </w:p>
        </w:tc>
        <w:tc>
          <w:tcPr>
            <w:tcW w:type="dxa" w:w="4680"/>
            <w:tcBorders>
              <w:top w:val="nil"/>
              <w:left w:val="nil"/>
              <w:bottom w:val="nil"/>
              <w:right w:val="nil"/>
              <w:insideH w:val="nil"/>
              <w:insideV w:val="nil"/>
            </w:tcBorders>
          </w:tcPr>
          <w:p>
            <w:pPr>
              <w:spacing w:after="20"/>
            </w:pPr>
            <w:r>
              <w:rPr>
                <w:rFonts w:ascii="Times New Roman" w:hAnsi="Times New Roman" w:eastAsia="Times New Roman"/>
                <w:sz w:val="19"/>
              </w:rPr>
              <w:t>21. Current Deployment and User Workflow</w:t>
            </w:r>
          </w:p>
        </w:tc>
      </w:tr>
      <w:tr>
        <w:tc>
          <w:tcPr>
            <w:tcW w:type="dxa" w:w="4680"/>
            <w:tcBorders>
              <w:top w:val="nil"/>
              <w:left w:val="nil"/>
              <w:bottom w:val="nil"/>
              <w:right w:val="nil"/>
              <w:insideH w:val="nil"/>
              <w:insideV w:val="nil"/>
            </w:tcBorders>
          </w:tcPr>
          <w:p>
            <w:pPr>
              <w:spacing w:after="20"/>
            </w:pPr>
            <w:r>
              <w:rPr>
                <w:rFonts w:ascii="Times New Roman" w:hAnsi="Times New Roman" w:eastAsia="Times New Roman"/>
                <w:sz w:val="19"/>
              </w:rPr>
              <w:t>10. Phase 4: Production Engine Preservation</w:t>
            </w:r>
          </w:p>
        </w:tc>
        <w:tc>
          <w:tcPr>
            <w:tcW w:type="dxa" w:w="4680"/>
            <w:tcBorders>
              <w:top w:val="nil"/>
              <w:left w:val="nil"/>
              <w:bottom w:val="nil"/>
              <w:right w:val="nil"/>
              <w:insideH w:val="nil"/>
              <w:insideV w:val="nil"/>
            </w:tcBorders>
          </w:tcPr>
          <w:p>
            <w:pPr>
              <w:spacing w:after="20"/>
            </w:pPr>
            <w:r>
              <w:rPr>
                <w:rFonts w:ascii="Times New Roman" w:hAnsi="Times New Roman" w:eastAsia="Times New Roman"/>
                <w:sz w:val="19"/>
              </w:rPr>
              <w:t>22. Next Engineering Phase</w:t>
            </w:r>
          </w:p>
        </w:tc>
      </w:tr>
      <w:tr>
        <w:tc>
          <w:tcPr>
            <w:tcW w:type="dxa" w:w="4680"/>
            <w:tcBorders>
              <w:top w:val="nil"/>
              <w:left w:val="nil"/>
              <w:bottom w:val="nil"/>
              <w:right w:val="nil"/>
              <w:insideH w:val="nil"/>
              <w:insideV w:val="nil"/>
            </w:tcBorders>
          </w:tcPr>
          <w:p>
            <w:pPr>
              <w:spacing w:after="20"/>
            </w:pPr>
            <w:r>
              <w:rPr>
                <w:rFonts w:ascii="Times New Roman" w:hAnsi="Times New Roman" w:eastAsia="Times New Roman"/>
                <w:sz w:val="19"/>
              </w:rPr>
              <w:t>11. Phase 5: Bayesian Farm-State Simulation</w:t>
            </w:r>
          </w:p>
        </w:tc>
        <w:tc>
          <w:tcPr>
            <w:tcW w:type="dxa" w:w="4680"/>
            <w:tcBorders>
              <w:top w:val="nil"/>
              <w:left w:val="nil"/>
              <w:bottom w:val="nil"/>
              <w:right w:val="nil"/>
              <w:insideH w:val="nil"/>
              <w:insideV w:val="nil"/>
            </w:tcBorders>
          </w:tcPr>
          <w:p>
            <w:pPr>
              <w:spacing w:after="20"/>
            </w:pPr>
            <w:r>
              <w:rPr>
                <w:rFonts w:ascii="Times New Roman" w:hAnsi="Times New Roman" w:eastAsia="Times New Roman"/>
                <w:sz w:val="19"/>
              </w:rPr>
              <w:t>Appendix A. Formula Catalog</w:t>
            </w:r>
          </w:p>
        </w:tc>
      </w:tr>
      <w:tr>
        <w:tc>
          <w:tcPr>
            <w:tcW w:type="dxa" w:w="4680"/>
            <w:tcBorders>
              <w:top w:val="nil"/>
              <w:left w:val="nil"/>
              <w:bottom w:val="nil"/>
              <w:right w:val="nil"/>
              <w:insideH w:val="nil"/>
              <w:insideV w:val="nil"/>
            </w:tcBorders>
          </w:tcPr>
          <w:p>
            <w:pPr>
              <w:spacing w:after="20"/>
            </w:pPr>
            <w:r>
              <w:rPr>
                <w:rFonts w:ascii="Times New Roman" w:hAnsi="Times New Roman" w:eastAsia="Times New Roman"/>
                <w:sz w:val="19"/>
              </w:rPr>
              <w:t>12. Phase 6: Pest-Risk Inference</w:t>
            </w:r>
          </w:p>
        </w:tc>
        <w:tc>
          <w:tcPr>
            <w:tcW w:type="dxa" w:w="4680"/>
            <w:tcBorders>
              <w:top w:val="nil"/>
              <w:left w:val="nil"/>
              <w:bottom w:val="nil"/>
              <w:right w:val="nil"/>
              <w:insideH w:val="nil"/>
              <w:insideV w:val="nil"/>
            </w:tcBorders>
          </w:tcPr>
          <w:p>
            <w:pPr>
              <w:spacing w:after="20"/>
            </w:pPr>
            <w:r>
              <w:rPr>
                <w:rFonts w:ascii="Times New Roman" w:hAnsi="Times New Roman" w:eastAsia="Times New Roman"/>
                <w:sz w:val="19"/>
              </w:rPr>
              <w:t>Appendix B. Version and Test Matrix</w:t>
            </w:r>
          </w:p>
        </w:tc>
      </w:tr>
    </w:tbl>
    <w:p>
      <w:r>
        <w:rPr>
          <w:rFonts w:ascii="Times New Roman" w:hAnsi="Times New Roman" w:eastAsia="Times New Roman"/>
        </w:rPr>
        <w:br w:type="page"/>
      </w:r>
    </w:p>
    <w:p>
      <w:pPr>
        <w:pStyle w:val="Heading1"/>
        <w:keepNext/>
      </w:pPr>
      <w:r>
        <w:rPr>
          <w:rFonts w:ascii="Times New Roman" w:hAnsi="Times New Roman" w:eastAsia="Times New Roman"/>
        </w:rPr>
        <w:t>1. Executive Summary</w:t>
      </w:r>
    </w:p>
    <w:p>
      <w:pPr>
        <w:spacing w:after="120" w:line="240" w:lineRule="auto"/>
      </w:pPr>
      <w:r>
        <w:rPr>
          <w:rFonts w:ascii="Times New Roman" w:hAnsi="Times New Roman" w:eastAsia="Times New Roman"/>
        </w:rPr>
        <w:t>COCOAID is being restructured from a large forecasting dashboard into a network of specialized analytical engines. The retained production model supplies a common baseline. Weather assimilation provides versioned agricultural features. The Bayesian simulator manages farm-state uncertainty. Pest inference estimates pest-specific outbreak probabilities and losses. Intercropping evaluates crop suitability under coconut canopy, soil, climate, competition, and pest constraints. Rehabilitation converts analytical outputs into costed actions and comparable management scenarios. Phase 9 consolidates these outputs into one traceable decision-support record.</w:t>
      </w:r>
    </w:p>
    <w:p>
      <w:pPr>
        <w:spacing w:after="120" w:line="240" w:lineRule="auto"/>
      </w:pPr>
      <w:r>
        <w:rPr>
          <w:rFonts w:ascii="Times New Roman" w:hAnsi="Times New Roman" w:eastAsia="Times New Roman"/>
        </w:rPr>
        <w:t>The rehaul uses an incremental migration strategy. The v2.11 system remains preserved and operational while new v3 modules are introduced behind strict contracts and additive database migrations. This avoids a destructive rewrite and permits regression comparison between legacy and replacement behavior.</w:t>
      </w:r>
    </w:p>
    <w:p>
      <w:pPr>
        <w:spacing w:after="120" w:line="240" w:lineRule="auto"/>
      </w:pPr>
      <w:r>
        <w:rPr>
          <w:rFonts w:ascii="Times New Roman" w:hAnsi="Times New Roman" w:eastAsia="Times New Roman"/>
        </w:rPr>
        <w:t>At the completion of Phase 9, the v3 stack contains nine database migrations, five specialized analytical engines plus weather assimilation and production, 64 registered data contracts, 10 engine descriptors, and a complete decision-support composition layer. The full release test inventory contains 252 tests. Warnings are treated as test failures.</w:t>
      </w:r>
    </w:p>
    <w:p>
      <w:pPr>
        <w:pStyle w:val="Heading2"/>
        <w:keepNext/>
      </w:pPr>
      <w:r>
        <w:rPr>
          <w:rFonts w:ascii="Times New Roman" w:hAnsi="Times New Roman" w:eastAsia="Times New Roman"/>
        </w:rPr>
        <w:t>Key Engineering Outcomes</w:t>
      </w:r>
    </w:p>
    <w:p>
      <w:pPr>
        <w:pStyle w:val="ListBullet"/>
        <w:spacing w:after="40"/>
      </w:pPr>
      <w:r>
        <w:rPr>
          <w:rFonts w:ascii="Times New Roman" w:hAnsi="Times New Roman" w:eastAsia="Times New Roman"/>
        </w:rPr>
        <w:t>Preserved the v2.11 application, trained model artifacts, reports, database logic, frontend behavior, and Windows launch workflow.</w:t>
      </w:r>
    </w:p>
    <w:p>
      <w:pPr>
        <w:pStyle w:val="ListBullet"/>
        <w:spacing w:after="40"/>
      </w:pPr>
      <w:r>
        <w:rPr>
          <w:rFonts w:ascii="Times New Roman" w:hAnsi="Times New Roman" w:eastAsia="Times New Roman"/>
        </w:rPr>
        <w:t>Separated live weather forecasts from historical observations and long-term climate-conditioned simulations.</w:t>
      </w:r>
    </w:p>
    <w:p>
      <w:pPr>
        <w:pStyle w:val="ListBullet"/>
        <w:spacing w:after="40"/>
      </w:pPr>
      <w:r>
        <w:rPr>
          <w:rFonts w:ascii="Times New Roman" w:hAnsi="Times New Roman" w:eastAsia="Times New Roman"/>
        </w:rPr>
        <w:t>Kept model prediction refresh, Bayesian evidence updating, and model retraining as separate processes.</w:t>
      </w:r>
    </w:p>
    <w:p>
      <w:pPr>
        <w:pStyle w:val="ListBullet"/>
        <w:spacing w:after="40"/>
      </w:pPr>
      <w:r>
        <w:rPr>
          <w:rFonts w:ascii="Times New Roman" w:hAnsi="Times New Roman" w:eastAsia="Times New Roman"/>
        </w:rPr>
        <w:t>Converted PCA varieties, pests, fertilization guidance, canopy-light tables, and intercrop lists into versioned reference records.</w:t>
      </w:r>
    </w:p>
    <w:p>
      <w:pPr>
        <w:pStyle w:val="ListBullet"/>
        <w:spacing w:after="40"/>
      </w:pPr>
      <w:r>
        <w:rPr>
          <w:rFonts w:ascii="Times New Roman" w:hAnsi="Times New Roman" w:eastAsia="Times New Roman"/>
        </w:rPr>
        <w:t>Introduced reversible, checksummed migrations and provenance for every analytical output.</w:t>
      </w:r>
    </w:p>
    <w:p>
      <w:pPr>
        <w:pStyle w:val="ListBullet"/>
        <w:spacing w:after="40"/>
      </w:pPr>
      <w:r>
        <w:rPr>
          <w:rFonts w:ascii="Times New Roman" w:hAnsi="Times New Roman" w:eastAsia="Times New Roman"/>
        </w:rPr>
        <w:t>Prevented predicted or suspected events from being treated as confirmed field damage.</w:t>
      </w:r>
    </w:p>
    <w:p>
      <w:pPr>
        <w:pStyle w:val="ListBullet"/>
        <w:spacing w:after="40"/>
      </w:pPr>
      <w:r>
        <w:rPr>
          <w:rFonts w:ascii="Times New Roman" w:hAnsi="Times New Roman" w:eastAsia="Times New Roman"/>
        </w:rPr>
        <w:t>Separated pest conditional loss from probability-weighted expected loss.</w:t>
      </w:r>
    </w:p>
    <w:p>
      <w:pPr>
        <w:pStyle w:val="ListBullet"/>
        <w:spacing w:after="40"/>
      </w:pPr>
      <w:r>
        <w:rPr>
          <w:rFonts w:ascii="Times New Roman" w:hAnsi="Times New Roman" w:eastAsia="Times New Roman"/>
        </w:rPr>
        <w:t>Created transparent intercropping scores with hard constraints and decomposable factors.</w:t>
      </w:r>
    </w:p>
    <w:p>
      <w:pPr>
        <w:pStyle w:val="ListBullet"/>
        <w:spacing w:after="40"/>
      </w:pPr>
      <w:r>
        <w:rPr>
          <w:rFonts w:ascii="Times New Roman" w:hAnsi="Times New Roman" w:eastAsia="Times New Roman"/>
        </w:rPr>
        <w:t>Created six rehabilitation scenarios including mandatory no action, with budget and labor feasibility.</w:t>
      </w:r>
    </w:p>
    <w:p>
      <w:pPr>
        <w:pStyle w:val="ListBullet"/>
        <w:spacing w:after="40"/>
      </w:pPr>
      <w:r>
        <w:rPr>
          <w:rFonts w:ascii="Times New Roman" w:hAnsi="Times New Roman" w:eastAsia="Times New Roman"/>
        </w:rPr>
        <w:t>Created Phase 9 evidence-linked recommendations without allowing an LLM to override analytical results.</w:t>
      </w:r>
    </w:p>
    <w:p>
      <w:pPr>
        <w:pStyle w:val="Heading2"/>
        <w:keepNext/>
      </w:pPr>
      <w:r>
        <w:rPr>
          <w:rFonts w:ascii="Times New Roman" w:hAnsi="Times New Roman" w:eastAsia="Times New Roman"/>
        </w:rPr>
        <w:t>Current Research Boundary</w:t>
      </w:r>
    </w:p>
    <w:p>
      <w:pPr>
        <w:spacing w:after="120" w:line="240" w:lineRule="auto"/>
      </w:pPr>
      <w:r>
        <w:rPr>
          <w:rFonts w:ascii="Times New Roman" w:hAnsi="Times New Roman" w:eastAsia="Times New Roman"/>
        </w:rPr>
        <w:t>The system is a research decision-support prototype. PCA reference sheets are used as priors, rules, conversion factors, and guidance sources. They are not presented as a large farm-level machine-learning training dataset. The retained production, pest, and suitability artifacts were trained on synthetic or reference-derived data and therefore require independent field validation before operational deployment.</w:t>
      </w:r>
    </w:p>
    <w:p>
      <w:r>
        <w:rPr>
          <w:rFonts w:ascii="Times New Roman" w:hAnsi="Times New Roman" w:eastAsia="Times New Roman"/>
        </w:rPr>
        <w:br w:type="page"/>
      </w:r>
    </w:p>
    <w:p>
      <w:pPr>
        <w:pStyle w:val="Heading1"/>
        <w:keepNext/>
      </w:pPr>
      <w:r>
        <w:rPr>
          <w:rFonts w:ascii="Times New Roman" w:hAnsi="Times New Roman" w:eastAsia="Times New Roman"/>
        </w:rPr>
        <w:t>2. Revised Project Identity and Scope</w:t>
      </w:r>
    </w:p>
    <w:p>
      <w:pPr>
        <w:spacing w:after="120" w:line="240" w:lineRule="auto"/>
      </w:pPr>
      <w:r>
        <w:rPr>
          <w:rFonts w:ascii="Times New Roman" w:hAnsi="Times New Roman" w:eastAsia="Times New Roman"/>
        </w:rPr>
        <w:t>The interface uses the product name COCOAID. The complete research title is retained in formal reports, methodology, documentation, and About materials. The research scope contains four major analytical domains: coconut productivity, pest-risk inference, intercropping potential, and rehabilitation planning. These domains are connected by a Bayesian farm-state model and a geospatial decision-support layer.</w:t>
      </w:r>
    </w:p>
    <w:p>
      <w:pPr>
        <w:pStyle w:val="Heading2"/>
        <w:keepNext/>
      </w:pPr>
      <w:r>
        <w:rPr>
          <w:rFonts w:ascii="Times New Roman" w:hAnsi="Times New Roman" w:eastAsia="Times New Roman"/>
        </w:rPr>
        <w:t>System Questions</w:t>
      </w:r>
    </w:p>
    <w:tbl>
      <w:tblPr>
        <w:tblW w:type="auto" w:w="0"/>
        <w:jc w:val="center"/>
        <w:tblLayout w:type="autofit"/>
        <w:tblLook w:firstColumn="1" w:firstRow="1" w:lastColumn="0" w:lastRow="0" w:noHBand="0" w:noVBand="1" w:val="04A0"/>
      </w:tblPr>
      <w:tblGrid>
        <w:gridCol w:w="4824"/>
        <w:gridCol w:w="4824"/>
      </w:tblGrid>
      <w:tr>
        <w:trPr>
          <w:tblHeader w:val="true"/>
        </w:trPr>
        <w:tc>
          <w:tcPr>
            <w:tcW w:type="dxa" w:w="4824"/>
            <w:vAlign w:val="center"/>
            <w:tcBorders>
              <w:top w:val="single" w:sz="4" w:color="000000"/>
              <w:left w:val="single" w:sz="4" w:color="000000"/>
              <w:bottom w:val="single" w:sz="4" w:color="000000"/>
              <w:right w:val="single" w:sz="4" w:color="000000"/>
            </w:tcBorders>
          </w:tcPr>
          <w:p>
            <w:pPr>
              <w:jc w:val="center"/>
            </w:pPr>
            <w:r>
              <w:rPr>
                <w:rFonts w:ascii="Times New Roman" w:hAnsi="Times New Roman" w:eastAsia="Times New Roman"/>
                <w:b/>
                <w:sz w:val="19"/>
              </w:rPr>
              <w:t>Domain</w:t>
            </w:r>
          </w:p>
        </w:tc>
        <w:tc>
          <w:tcPr>
            <w:tcW w:type="dxa" w:w="4824"/>
            <w:vAlign w:val="center"/>
            <w:tcBorders>
              <w:top w:val="single" w:sz="4" w:color="000000"/>
              <w:left w:val="single" w:sz="4" w:color="000000"/>
              <w:bottom w:val="single" w:sz="4" w:color="000000"/>
              <w:right w:val="single" w:sz="4" w:color="000000"/>
            </w:tcBorders>
          </w:tcPr>
          <w:p>
            <w:pPr>
              <w:jc w:val="center"/>
            </w:pPr>
            <w:r>
              <w:rPr>
                <w:rFonts w:ascii="Times New Roman" w:hAnsi="Times New Roman" w:eastAsia="Times New Roman"/>
                <w:b/>
                <w:sz w:val="19"/>
              </w:rPr>
              <w:t>Primary question</w:t>
            </w:r>
          </w:p>
        </w:tc>
      </w:tr>
      <w:tr>
        <w:tc>
          <w:tcPr>
            <w:tcW w:type="dxa" w:w="4824"/>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Productivity</w:t>
            </w:r>
          </w:p>
        </w:tc>
        <w:tc>
          <w:tcPr>
            <w:tcW w:type="dxa" w:w="4824"/>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What production level is expected under the latest farm and weather inputs, and what uncertainty surrounds it?</w:t>
            </w:r>
          </w:p>
        </w:tc>
      </w:tr>
      <w:tr>
        <w:tc>
          <w:tcPr>
            <w:tcW w:type="dxa" w:w="4824"/>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Pest risk</w:t>
            </w:r>
          </w:p>
        </w:tc>
        <w:tc>
          <w:tcPr>
            <w:tcW w:type="dxa" w:w="4824"/>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Which pest or disease has the highest probability, what evidence supports it, and what loss is expected?</w:t>
            </w:r>
          </w:p>
        </w:tc>
      </w:tr>
      <w:tr>
        <w:tc>
          <w:tcPr>
            <w:tcW w:type="dxa" w:w="4824"/>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Intercropping</w:t>
            </w:r>
          </w:p>
        </w:tc>
        <w:tc>
          <w:tcPr>
            <w:tcW w:type="dxa" w:w="4824"/>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Which crop is suitable in each farm cell without unacceptable light, slope, competition, or pest conflict?</w:t>
            </w:r>
          </w:p>
        </w:tc>
      </w:tr>
      <w:tr>
        <w:tc>
          <w:tcPr>
            <w:tcW w:type="dxa" w:w="4824"/>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Rehabilitation</w:t>
            </w:r>
          </w:p>
        </w:tc>
        <w:tc>
          <w:tcPr>
            <w:tcW w:type="dxa" w:w="4824"/>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Which action should be performed, when, at what cost, and with what expected recovery?</w:t>
            </w:r>
          </w:p>
        </w:tc>
      </w:tr>
      <w:tr>
        <w:tc>
          <w:tcPr>
            <w:tcW w:type="dxa" w:w="4824"/>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Decision support</w:t>
            </w:r>
          </w:p>
        </w:tc>
        <w:tc>
          <w:tcPr>
            <w:tcW w:type="dxa" w:w="4824"/>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What should the farmer prioritize, and which exact analytical records support the recommendation?</w:t>
            </w:r>
          </w:p>
        </w:tc>
      </w:tr>
    </w:tbl>
    <w:p>
      <w:pPr>
        <w:spacing w:after="0"/>
      </w:pPr>
    </w:p>
    <w:p>
      <w:pPr>
        <w:pStyle w:val="Heading2"/>
        <w:keepNext/>
      </w:pPr>
      <w:r>
        <w:rPr>
          <w:rFonts w:ascii="Times New Roman" w:hAnsi="Times New Roman" w:eastAsia="Times New Roman"/>
        </w:rPr>
        <w:t>Live Forecast and Long-Term Simulation Separation</w:t>
      </w:r>
    </w:p>
    <w:p>
      <w:pPr>
        <w:spacing w:after="120" w:line="240" w:lineRule="auto"/>
      </w:pPr>
      <w:r>
        <w:rPr>
          <w:rFonts w:ascii="Times New Roman" w:hAnsi="Times New Roman" w:eastAsia="Times New Roman"/>
        </w:rPr>
        <w:t>The Weather GIS contains only current conditions and genuine numerical forecasts through Day 16. Conditions beyond the numerical forecast window are represented only in the Climate-Conditioned Farm Simulation. This distinction prevents long-range simulated sequences from being displayed as exact weather forecasts.</w:t>
      </w:r>
    </w:p>
    <w:p>
      <w:r>
        <w:rPr>
          <w:rFonts w:ascii="Times New Roman" w:hAnsi="Times New Roman" w:eastAsia="Times New Roman"/>
        </w:rPr>
        <w:br w:type="page"/>
      </w:r>
    </w:p>
    <w:p>
      <w:pPr>
        <w:pStyle w:val="Heading1"/>
        <w:keepNext/>
      </w:pPr>
      <w:r>
        <w:rPr>
          <w:rFonts w:ascii="Times New Roman" w:hAnsi="Times New Roman" w:eastAsia="Times New Roman"/>
        </w:rPr>
        <w:t>3. Engineering Governance and Development Controls</w:t>
      </w:r>
    </w:p>
    <w:p>
      <w:pPr>
        <w:spacing w:after="120" w:line="240" w:lineRule="auto"/>
      </w:pPr>
      <w:r>
        <w:rPr>
          <w:rFonts w:ascii="Times New Roman" w:hAnsi="Times New Roman" w:eastAsia="Times New Roman"/>
        </w:rPr>
        <w:t>The development process was governed by preservation, traceability, incremental change, and explicit exit criteria. Every phase was treated as a release candidate with its own contracts, migration, tests, manifests, verification script, documentation, and user instructions.</w:t>
      </w:r>
    </w:p>
    <w:p>
      <w:pPr>
        <w:pStyle w:val="Heading2"/>
        <w:keepNext/>
      </w:pPr>
      <w:r>
        <w:rPr>
          <w:rFonts w:ascii="Times New Roman" w:hAnsi="Times New Roman" w:eastAsia="Times New Roman"/>
        </w:rPr>
        <w:t>Non-Negotiable Controls</w:t>
      </w:r>
    </w:p>
    <w:p>
      <w:pPr>
        <w:spacing w:after="40"/>
        <w:ind w:left="403" w:hanging="288"/>
      </w:pPr>
      <w:r>
        <w:rPr>
          <w:rFonts w:ascii="Times New Roman" w:hAnsi="Times New Roman" w:eastAsia="Times New Roman"/>
        </w:rPr>
        <w:t>1. The only working v2.11 build was never overwritten.</w:t>
      </w:r>
    </w:p>
    <w:p>
      <w:pPr>
        <w:spacing w:after="40"/>
        <w:ind w:left="403" w:hanging="288"/>
      </w:pPr>
      <w:r>
        <w:rPr>
          <w:rFonts w:ascii="Times New Roman" w:hAnsi="Times New Roman" w:eastAsia="Times New Roman"/>
        </w:rPr>
        <w:t>2. New database structures were introduced through numbered migrations.</w:t>
      </w:r>
    </w:p>
    <w:p>
      <w:pPr>
        <w:spacing w:after="40"/>
        <w:ind w:left="403" w:hanging="288"/>
      </w:pPr>
      <w:r>
        <w:rPr>
          <w:rFonts w:ascii="Times New Roman" w:hAnsi="Times New Roman" w:eastAsia="Times New Roman"/>
        </w:rPr>
        <w:t>3. Scientific calculations remained in backend engines rather than frontend scripts.</w:t>
      </w:r>
    </w:p>
    <w:p>
      <w:pPr>
        <w:spacing w:after="40"/>
        <w:ind w:left="403" w:hanging="288"/>
      </w:pPr>
      <w:r>
        <w:rPr>
          <w:rFonts w:ascii="Times New Roman" w:hAnsi="Times New Roman" w:eastAsia="Times New Roman"/>
        </w:rPr>
        <w:t>4. Every model input order and unit was version controlled.</w:t>
      </w:r>
    </w:p>
    <w:p>
      <w:pPr>
        <w:spacing w:after="40"/>
        <w:ind w:left="403" w:hanging="288"/>
      </w:pPr>
      <w:r>
        <w:rPr>
          <w:rFonts w:ascii="Times New Roman" w:hAnsi="Times New Roman" w:eastAsia="Times New Roman"/>
        </w:rPr>
        <w:t>5. Missing provider data was disclosed; synthetic live weather was not fabricated.</w:t>
      </w:r>
    </w:p>
    <w:p>
      <w:pPr>
        <w:spacing w:after="40"/>
        <w:ind w:left="403" w:hanging="288"/>
      </w:pPr>
      <w:r>
        <w:rPr>
          <w:rFonts w:ascii="Times New Roman" w:hAnsi="Times New Roman" w:eastAsia="Times New Roman"/>
        </w:rPr>
        <w:t>6. Predicted and suspected evidence could not update Bayesian beliefs as confirmed observations.</w:t>
      </w:r>
    </w:p>
    <w:p>
      <w:pPr>
        <w:spacing w:after="40"/>
        <w:ind w:left="403" w:hanging="288"/>
      </w:pPr>
      <w:r>
        <w:rPr>
          <w:rFonts w:ascii="Times New Roman" w:hAnsi="Times New Roman" w:eastAsia="Times New Roman"/>
        </w:rPr>
        <w:t>7. Farmer names and raw workbook records were separated from public analytical outputs.</w:t>
      </w:r>
    </w:p>
    <w:p>
      <w:pPr>
        <w:spacing w:after="40"/>
        <w:ind w:left="403" w:hanging="288"/>
      </w:pPr>
      <w:r>
        <w:rPr>
          <w:rFonts w:ascii="Times New Roman" w:hAnsi="Times New Roman" w:eastAsia="Times New Roman"/>
        </w:rPr>
        <w:t>8. CoCO-PILOT was reserved for explanation and report narration, not independent agronomic calculation.</w:t>
      </w:r>
    </w:p>
    <w:p>
      <w:pPr>
        <w:spacing w:after="40"/>
        <w:ind w:left="403" w:hanging="288"/>
      </w:pPr>
      <w:r>
        <w:rPr>
          <w:rFonts w:ascii="Times New Roman" w:hAnsi="Times New Roman" w:eastAsia="Times New Roman"/>
        </w:rPr>
        <w:t>9. Every phase required automated testing and a reproducible manual smoke workflow.</w:t>
      </w:r>
    </w:p>
    <w:p>
      <w:pPr>
        <w:pStyle w:val="Heading2"/>
        <w:keepNext/>
      </w:pPr>
      <w:r>
        <w:rPr>
          <w:rFonts w:ascii="Times New Roman" w:hAnsi="Times New Roman" w:eastAsia="Times New Roman"/>
        </w:rPr>
        <w:t>Definition of Done</w:t>
      </w:r>
    </w:p>
    <w:tbl>
      <w:tblPr>
        <w:tblW w:type="auto" w:w="0"/>
        <w:jc w:val="center"/>
        <w:tblLayout w:type="autofit"/>
        <w:tblLook w:firstColumn="1" w:firstRow="1" w:lastColumn="0" w:lastRow="0" w:noHBand="0" w:noVBand="1" w:val="04A0"/>
      </w:tblPr>
      <w:tblGrid>
        <w:gridCol w:w="4824"/>
        <w:gridCol w:w="4824"/>
      </w:tblGrid>
      <w:tr>
        <w:trPr>
          <w:tblHeader w:val="true"/>
        </w:trPr>
        <w:tc>
          <w:tcPr>
            <w:tcW w:type="dxa" w:w="4824"/>
            <w:vAlign w:val="center"/>
            <w:tcBorders>
              <w:top w:val="single" w:sz="4" w:color="000000"/>
              <w:left w:val="single" w:sz="4" w:color="000000"/>
              <w:bottom w:val="single" w:sz="4" w:color="000000"/>
              <w:right w:val="single" w:sz="4" w:color="000000"/>
            </w:tcBorders>
          </w:tcPr>
          <w:p>
            <w:pPr>
              <w:jc w:val="center"/>
            </w:pPr>
            <w:r>
              <w:rPr>
                <w:rFonts w:ascii="Times New Roman" w:hAnsi="Times New Roman" w:eastAsia="Times New Roman"/>
                <w:b/>
                <w:sz w:val="19"/>
              </w:rPr>
              <w:t>Requirement</w:t>
            </w:r>
          </w:p>
        </w:tc>
        <w:tc>
          <w:tcPr>
            <w:tcW w:type="dxa" w:w="4824"/>
            <w:vAlign w:val="center"/>
            <w:tcBorders>
              <w:top w:val="single" w:sz="4" w:color="000000"/>
              <w:left w:val="single" w:sz="4" w:color="000000"/>
              <w:bottom w:val="single" w:sz="4" w:color="000000"/>
              <w:right w:val="single" w:sz="4" w:color="000000"/>
            </w:tcBorders>
          </w:tcPr>
          <w:p>
            <w:pPr>
              <w:jc w:val="center"/>
            </w:pPr>
            <w:r>
              <w:rPr>
                <w:rFonts w:ascii="Times New Roman" w:hAnsi="Times New Roman" w:eastAsia="Times New Roman"/>
                <w:b/>
                <w:sz w:val="19"/>
              </w:rPr>
              <w:t>Completion evidence</w:t>
            </w:r>
          </w:p>
        </w:tc>
      </w:tr>
      <w:tr>
        <w:tc>
          <w:tcPr>
            <w:tcW w:type="dxa" w:w="4824"/>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Implementation</w:t>
            </w:r>
          </w:p>
        </w:tc>
        <w:tc>
          <w:tcPr>
            <w:tcW w:type="dxa" w:w="4824"/>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Feature code committed to the development branch.</w:t>
            </w:r>
          </w:p>
        </w:tc>
      </w:tr>
      <w:tr>
        <w:tc>
          <w:tcPr>
            <w:tcW w:type="dxa" w:w="4824"/>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Contracts</w:t>
            </w:r>
          </w:p>
        </w:tc>
        <w:tc>
          <w:tcPr>
            <w:tcW w:type="dxa" w:w="4824"/>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Strict request and response models registered and hashed.</w:t>
            </w:r>
          </w:p>
        </w:tc>
      </w:tr>
      <w:tr>
        <w:tc>
          <w:tcPr>
            <w:tcW w:type="dxa" w:w="4824"/>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Database</w:t>
            </w:r>
          </w:p>
        </w:tc>
        <w:tc>
          <w:tcPr>
            <w:tcW w:type="dxa" w:w="4824"/>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Migration applied, idempotent, integrity checked, and rollback tested.</w:t>
            </w:r>
          </w:p>
        </w:tc>
      </w:tr>
      <w:tr>
        <w:tc>
          <w:tcPr>
            <w:tcW w:type="dxa" w:w="4824"/>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Testing</w:t>
            </w:r>
          </w:p>
        </w:tc>
        <w:tc>
          <w:tcPr>
            <w:tcW w:type="dxa" w:w="4824"/>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Unit, integration, regression, and smoke checks passed.</w:t>
            </w:r>
          </w:p>
        </w:tc>
      </w:tr>
      <w:tr>
        <w:tc>
          <w:tcPr>
            <w:tcW w:type="dxa" w:w="4824"/>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Documentation</w:t>
            </w:r>
          </w:p>
        </w:tc>
        <w:tc>
          <w:tcPr>
            <w:tcW w:type="dxa" w:w="4824"/>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Architecture, API, data contracts, limitations, and user actions updated.</w:t>
            </w:r>
          </w:p>
        </w:tc>
      </w:tr>
      <w:tr>
        <w:tc>
          <w:tcPr>
            <w:tcW w:type="dxa" w:w="4824"/>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Release</w:t>
            </w:r>
          </w:p>
        </w:tc>
        <w:tc>
          <w:tcPr>
            <w:tcW w:type="dxa" w:w="4824"/>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Flat ZIP, checksum, clean extraction, and retesting completed.</w:t>
            </w:r>
          </w:p>
        </w:tc>
      </w:tr>
    </w:tbl>
    <w:p>
      <w:pPr>
        <w:spacing w:after="0"/>
      </w:pPr>
    </w:p>
    <w:p>
      <w:r>
        <w:rPr>
          <w:rFonts w:ascii="Times New Roman" w:hAnsi="Times New Roman" w:eastAsia="Times New Roman"/>
        </w:rPr>
        <w:br w:type="page"/>
      </w:r>
    </w:p>
    <w:p>
      <w:pPr>
        <w:pStyle w:val="Heading1"/>
        <w:keepNext/>
      </w:pPr>
      <w:r>
        <w:rPr>
          <w:rFonts w:ascii="Times New Roman" w:hAnsi="Times New Roman" w:eastAsia="Times New Roman"/>
        </w:rPr>
        <w:t>4. Baseline System Audit</w:t>
      </w:r>
    </w:p>
    <w:p>
      <w:pPr>
        <w:spacing w:after="120" w:line="240" w:lineRule="auto"/>
      </w:pPr>
      <w:r>
        <w:rPr>
          <w:rFonts w:ascii="Times New Roman" w:hAnsi="Times New Roman" w:eastAsia="Times New Roman"/>
        </w:rPr>
        <w:t>The Phase 0 audit established the current system as a FastAPI backend with a large vanilla JavaScript frontend, SQLite persistence, Open-Meteo and other geospatial providers, trained production, pest, and suitability artifacts, Monte Carlo simulation, reporting, and CoCO-PILOT integration. The baseline contained substantial working behavior but was too monolithic for the revised scientific scope.</w:t>
      </w:r>
    </w:p>
    <w:p>
      <w:pPr>
        <w:pStyle w:val="Heading2"/>
        <w:keepNext/>
      </w:pPr>
      <w:r>
        <w:rPr>
          <w:rFonts w:ascii="Times New Roman" w:hAnsi="Times New Roman" w:eastAsia="Times New Roman"/>
        </w:rPr>
        <w:t>Baseline Risks</w:t>
      </w:r>
    </w:p>
    <w:p>
      <w:pPr>
        <w:pStyle w:val="ListBullet"/>
        <w:spacing w:after="40"/>
      </w:pPr>
      <w:r>
        <w:rPr>
          <w:rFonts w:ascii="Times New Roman" w:hAnsi="Times New Roman" w:eastAsia="Times New Roman"/>
        </w:rPr>
        <w:t>Large frontend and backend modules mixed state management, rendering, provider calls, and analytical logic.</w:t>
      </w:r>
    </w:p>
    <w:p>
      <w:pPr>
        <w:pStyle w:val="ListBullet"/>
        <w:spacing w:after="40"/>
      </w:pPr>
      <w:r>
        <w:rPr>
          <w:rFonts w:ascii="Times New Roman" w:hAnsi="Times New Roman" w:eastAsia="Times New Roman"/>
        </w:rPr>
        <w:t>Generic JSON database tables could not provide reliable record-level provenance or relational validation.</w:t>
      </w:r>
    </w:p>
    <w:p>
      <w:pPr>
        <w:pStyle w:val="ListBullet"/>
        <w:spacing w:after="40"/>
      </w:pPr>
      <w:r>
        <w:rPr>
          <w:rFonts w:ascii="Times New Roman" w:hAnsi="Times New Roman" w:eastAsia="Times New Roman"/>
        </w:rPr>
        <w:t>Existing model artifacts had synthetic or reference-derived training origins.</w:t>
      </w:r>
    </w:p>
    <w:p>
      <w:pPr>
        <w:pStyle w:val="ListBullet"/>
        <w:spacing w:after="40"/>
      </w:pPr>
      <w:r>
        <w:rPr>
          <w:rFonts w:ascii="Times New Roman" w:hAnsi="Times New Roman" w:eastAsia="Times New Roman"/>
        </w:rPr>
        <w:t>Legacy Bayesian behavior did not yet perform sequential observation-aware updating.</w:t>
      </w:r>
    </w:p>
    <w:p>
      <w:pPr>
        <w:pStyle w:val="ListBullet"/>
        <w:spacing w:after="40"/>
      </w:pPr>
      <w:r>
        <w:rPr>
          <w:rFonts w:ascii="Times New Roman" w:hAnsi="Times New Roman" w:eastAsia="Times New Roman"/>
        </w:rPr>
        <w:t>Pest and rehabilitation outputs required clearer evidence semantics and loss definitions.</w:t>
      </w:r>
    </w:p>
    <w:p>
      <w:pPr>
        <w:pStyle w:val="Heading2"/>
        <w:keepNext/>
      </w:pPr>
      <w:r>
        <w:rPr>
          <w:rFonts w:ascii="Times New Roman" w:hAnsi="Times New Roman" w:eastAsia="Times New Roman"/>
        </w:rPr>
        <w:t>Baseline Preservation Artifacts</w:t>
      </w:r>
    </w:p>
    <w:p>
      <w:pPr>
        <w:spacing w:after="120" w:line="240" w:lineRule="auto"/>
      </w:pPr>
      <w:r>
        <w:rPr>
          <w:rFonts w:ascii="Times New Roman" w:hAnsi="Times New Roman" w:eastAsia="Times New Roman"/>
        </w:rPr>
        <w:t>The baseline was tagged, checksummed, inventoried, and regression tested. Reference farms were captured so new behavior could be compared with legacy outputs. This preserved a known-good recovery point throughout the rehaul.</w:t>
      </w:r>
    </w:p>
    <w:p>
      <w:r>
        <w:rPr>
          <w:rFonts w:ascii="Times New Roman" w:hAnsi="Times New Roman" w:eastAsia="Times New Roman"/>
        </w:rPr>
        <w:br w:type="page"/>
      </w:r>
    </w:p>
    <w:p>
      <w:pPr>
        <w:pStyle w:val="Heading1"/>
        <w:keepNext/>
      </w:pPr>
      <w:r>
        <w:rPr>
          <w:rFonts w:ascii="Times New Roman" w:hAnsi="Times New Roman" w:eastAsia="Times New Roman"/>
        </w:rPr>
        <w:t>5. Target Architecture and Data Flow</w:t>
      </w:r>
    </w:p>
    <w:p>
      <w:pPr>
        <w:spacing w:after="120" w:line="240" w:lineRule="auto"/>
      </w:pPr>
      <w:r>
        <w:rPr>
          <w:rFonts w:ascii="Times New Roman" w:hAnsi="Times New Roman" w:eastAsia="Times New Roman"/>
        </w:rPr>
        <w:t>The v3 system follows a layered architecture with strict separation between data acquisition, domain contracts, analytical engines, repositories, API routes, reports, and user-interface presentation.</w:t>
      </w:r>
    </w:p>
    <w:tbl>
      <w:tblPr>
        <w:tblW w:type="auto" w:w="0"/>
        <w:jc w:val="center"/>
        <w:tblLayout w:type="autofit"/>
        <w:tblLook w:firstColumn="1" w:firstRow="1" w:lastColumn="0" w:lastRow="0" w:noHBand="0" w:noVBand="1" w:val="04A0"/>
      </w:tblPr>
      <w:tblGrid>
        <w:gridCol w:w="4824"/>
        <w:gridCol w:w="4824"/>
      </w:tblGrid>
      <w:tr>
        <w:trPr>
          <w:tblHeader w:val="true"/>
        </w:trPr>
        <w:tc>
          <w:tcPr>
            <w:tcW w:type="dxa" w:w="4824"/>
            <w:vAlign w:val="center"/>
            <w:tcBorders>
              <w:top w:val="single" w:sz="4" w:color="000000"/>
              <w:left w:val="single" w:sz="4" w:color="000000"/>
              <w:bottom w:val="single" w:sz="4" w:color="000000"/>
              <w:right w:val="single" w:sz="4" w:color="000000"/>
            </w:tcBorders>
          </w:tcPr>
          <w:p>
            <w:pPr>
              <w:jc w:val="center"/>
            </w:pPr>
            <w:r>
              <w:rPr>
                <w:rFonts w:ascii="Times New Roman" w:hAnsi="Times New Roman" w:eastAsia="Times New Roman"/>
                <w:b/>
                <w:sz w:val="19"/>
              </w:rPr>
              <w:t>Layer</w:t>
            </w:r>
          </w:p>
        </w:tc>
        <w:tc>
          <w:tcPr>
            <w:tcW w:type="dxa" w:w="4824"/>
            <w:vAlign w:val="center"/>
            <w:tcBorders>
              <w:top w:val="single" w:sz="4" w:color="000000"/>
              <w:left w:val="single" w:sz="4" w:color="000000"/>
              <w:bottom w:val="single" w:sz="4" w:color="000000"/>
              <w:right w:val="single" w:sz="4" w:color="000000"/>
            </w:tcBorders>
          </w:tcPr>
          <w:p>
            <w:pPr>
              <w:jc w:val="center"/>
            </w:pPr>
            <w:r>
              <w:rPr>
                <w:rFonts w:ascii="Times New Roman" w:hAnsi="Times New Roman" w:eastAsia="Times New Roman"/>
                <w:b/>
                <w:sz w:val="19"/>
              </w:rPr>
              <w:t>Responsibilities</w:t>
            </w:r>
          </w:p>
        </w:tc>
      </w:tr>
      <w:tr>
        <w:tc>
          <w:tcPr>
            <w:tcW w:type="dxa" w:w="4824"/>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API</w:t>
            </w:r>
          </w:p>
        </w:tc>
        <w:tc>
          <w:tcPr>
            <w:tcW w:type="dxa" w:w="4824"/>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Validate requests, expose versioned endpoints, and return structured errors.</w:t>
            </w:r>
          </w:p>
        </w:tc>
      </w:tr>
      <w:tr>
        <w:tc>
          <w:tcPr>
            <w:tcW w:type="dxa" w:w="4824"/>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Domain contracts</w:t>
            </w:r>
          </w:p>
        </w:tc>
        <w:tc>
          <w:tcPr>
            <w:tcW w:type="dxa" w:w="4824"/>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Define units, identifiers, evidence status, provenance, and output semantics.</w:t>
            </w:r>
          </w:p>
        </w:tc>
      </w:tr>
      <w:tr>
        <w:tc>
          <w:tcPr>
            <w:tcW w:type="dxa" w:w="4824"/>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Engines</w:t>
            </w:r>
          </w:p>
        </w:tc>
        <w:tc>
          <w:tcPr>
            <w:tcW w:type="dxa" w:w="4824"/>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Perform weather, production, Bayesian, pest, intercropping, rehabilitation, and decision-support calculations.</w:t>
            </w:r>
          </w:p>
        </w:tc>
      </w:tr>
      <w:tr>
        <w:tc>
          <w:tcPr>
            <w:tcW w:type="dxa" w:w="4824"/>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Repositories</w:t>
            </w:r>
          </w:p>
        </w:tc>
        <w:tc>
          <w:tcPr>
            <w:tcW w:type="dxa" w:w="4824"/>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Persist immutable runs, assessments, observations, and traceability records.</w:t>
            </w:r>
          </w:p>
        </w:tc>
      </w:tr>
      <w:tr>
        <w:tc>
          <w:tcPr>
            <w:tcW w:type="dxa" w:w="4824"/>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Data foundation</w:t>
            </w:r>
          </w:p>
        </w:tc>
        <w:tc>
          <w:tcPr>
            <w:tcW w:type="dxa" w:w="4824"/>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Store PCA references, farmer staging data, variety parameters, pests, crops, and source citations.</w:t>
            </w:r>
          </w:p>
        </w:tc>
      </w:tr>
      <w:tr>
        <w:tc>
          <w:tcPr>
            <w:tcW w:type="dxa" w:w="4824"/>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Reports and AI</w:t>
            </w:r>
          </w:p>
        </w:tc>
        <w:tc>
          <w:tcPr>
            <w:tcW w:type="dxa" w:w="4824"/>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Explain saved structured results without replacing analytical calculations.</w:t>
            </w:r>
          </w:p>
        </w:tc>
      </w:tr>
    </w:tbl>
    <w:p>
      <w:pPr>
        <w:spacing w:after="0"/>
      </w:pPr>
    </w:p>
    <w:p>
      <w:pPr>
        <w:pStyle w:val="Heading2"/>
        <w:keepNext/>
      </w:pPr>
      <w:r>
        <w:rPr>
          <w:rFonts w:ascii="Times New Roman" w:hAnsi="Times New Roman" w:eastAsia="Times New Roman"/>
        </w:rPr>
        <w:t>End-to-End Flow</w:t>
      </w:r>
    </w:p>
    <w:p>
      <w:pPr>
        <w:spacing w:after="120" w:line="240" w:lineRule="auto"/>
      </w:pPr>
      <w:r>
        <w:rPr>
          <w:rFonts w:ascii="Times New Roman" w:hAnsi="Times New Roman" w:eastAsia="Times New Roman"/>
        </w:rPr>
        <w:t>Farm profile and polygon -&gt; weather assimilation -&gt; production feature adapter -&gt; retained ML prediction -&gt; Bayesian posterior -&gt; pest and intercropping assessments -&gt; rehabilitation scenarios -&gt; integrated decision-support record -&gt; reports and CoCO-PILOT explanation.</w:t>
      </w:r>
    </w:p>
    <w:p>
      <w:r>
        <w:rPr>
          <w:rFonts w:ascii="Times New Roman" w:hAnsi="Times New Roman" w:eastAsia="Times New Roman"/>
        </w:rPr>
        <w:br w:type="page"/>
      </w:r>
    </w:p>
    <w:p>
      <w:pPr>
        <w:pStyle w:val="Heading1"/>
        <w:keepNext/>
      </w:pPr>
      <w:r>
        <w:rPr>
          <w:rFonts w:ascii="Times New Roman" w:hAnsi="Times New Roman" w:eastAsia="Times New Roman"/>
        </w:rPr>
        <w:t>6. Phase 0: Baseline Preservation and Audit</w:t>
      </w:r>
    </w:p>
    <w:p>
      <w:pPr>
        <w:spacing w:after="120" w:line="240" w:lineRule="auto"/>
      </w:pPr>
      <w:r>
        <w:rPr>
          <w:rFonts w:ascii="Times New Roman" w:hAnsi="Times New Roman" w:eastAsia="Times New Roman"/>
        </w:rPr>
        <w:t>Phase 0 created the safe development foundation. The source tree, trained models, routes, schemas, database tables, provider dependencies, reports, and frontend modules were inventoried. Model artifacts received SHA-256 checksums. Three non-PII reference farms were created for regression testing.</w:t>
      </w:r>
    </w:p>
    <w:p>
      <w:pPr>
        <w:pStyle w:val="Heading2"/>
        <w:keepNext/>
      </w:pPr>
      <w:r>
        <w:rPr>
          <w:rFonts w:ascii="Times New Roman" w:hAnsi="Times New Roman" w:eastAsia="Times New Roman"/>
        </w:rPr>
        <w:t>Phase 0 Deliverables</w:t>
      </w:r>
    </w:p>
    <w:p>
      <w:pPr>
        <w:pStyle w:val="ListBullet"/>
        <w:spacing w:after="40"/>
      </w:pPr>
      <w:r>
        <w:rPr>
          <w:rFonts w:ascii="Times New Roman" w:hAnsi="Times New Roman" w:eastAsia="Times New Roman"/>
        </w:rPr>
        <w:t>Immutable v2.11 baseline tag and clean v3 development branch.</w:t>
      </w:r>
    </w:p>
    <w:p>
      <w:pPr>
        <w:pStyle w:val="ListBullet"/>
        <w:spacing w:after="40"/>
      </w:pPr>
      <w:r>
        <w:rPr>
          <w:rFonts w:ascii="Times New Roman" w:hAnsi="Times New Roman" w:eastAsia="Times New Roman"/>
        </w:rPr>
        <w:t>Model, API, database, frontend, and dependency inventories.</w:t>
      </w:r>
    </w:p>
    <w:p>
      <w:pPr>
        <w:pStyle w:val="ListBullet"/>
        <w:spacing w:after="40"/>
      </w:pPr>
      <w:r>
        <w:rPr>
          <w:rFonts w:ascii="Times New Roman" w:hAnsi="Times New Roman" w:eastAsia="Times New Roman"/>
        </w:rPr>
        <w:t>Known-issue and security-boundary registers.</w:t>
      </w:r>
    </w:p>
    <w:p>
      <w:pPr>
        <w:pStyle w:val="ListBullet"/>
        <w:spacing w:after="40"/>
      </w:pPr>
      <w:r>
        <w:rPr>
          <w:rFonts w:ascii="Times New Roman" w:hAnsi="Times New Roman" w:eastAsia="Times New Roman"/>
        </w:rPr>
        <w:t>Reference-farm fixtures and captured baseline outputs.</w:t>
      </w:r>
    </w:p>
    <w:p>
      <w:pPr>
        <w:pStyle w:val="ListBullet"/>
        <w:spacing w:after="40"/>
      </w:pPr>
      <w:r>
        <w:rPr>
          <w:rFonts w:ascii="Times New Roman" w:hAnsi="Times New Roman" w:eastAsia="Times New Roman"/>
        </w:rPr>
        <w:t>Audit of 17,798 farmer records without exposing names.</w:t>
      </w:r>
    </w:p>
    <w:p>
      <w:pPr>
        <w:pStyle w:val="Heading2"/>
        <w:keepNext/>
      </w:pPr>
      <w:r>
        <w:rPr>
          <w:rFonts w:ascii="Times New Roman" w:hAnsi="Times New Roman" w:eastAsia="Times New Roman"/>
        </w:rPr>
        <w:t>Verification</w:t>
      </w:r>
    </w:p>
    <w:p>
      <w:pPr>
        <w:spacing w:after="120" w:line="240" w:lineRule="auto"/>
      </w:pPr>
      <w:r>
        <w:rPr>
          <w:rFonts w:ascii="Times New Roman" w:hAnsi="Times New Roman" w:eastAsia="Times New Roman"/>
        </w:rPr>
        <w:t>The preserved baseline passed 111 tests. Model files, reference records, and expected application files were checksum verified.</w:t>
      </w:r>
    </w:p>
    <w:p>
      <w:r>
        <w:rPr>
          <w:rFonts w:ascii="Times New Roman" w:hAnsi="Times New Roman" w:eastAsia="Times New Roman"/>
        </w:rPr>
        <w:br w:type="page"/>
      </w:r>
    </w:p>
    <w:p>
      <w:pPr>
        <w:pStyle w:val="Heading1"/>
        <w:keepNext/>
      </w:pPr>
      <w:r>
        <w:rPr>
          <w:rFonts w:ascii="Times New Roman" w:hAnsi="Times New Roman" w:eastAsia="Times New Roman"/>
        </w:rPr>
        <w:t>7. Phase 1: Core Architecture and Data Contracts</w:t>
      </w:r>
    </w:p>
    <w:p>
      <w:pPr>
        <w:spacing w:after="120" w:line="240" w:lineRule="auto"/>
      </w:pPr>
      <w:r>
        <w:rPr>
          <w:rFonts w:ascii="Times New Roman" w:hAnsi="Times New Roman" w:eastAsia="Times New Roman"/>
        </w:rPr>
        <w:t>Phase 1 introduced modular backend boundaries, strict Pydantic contracts, centralized configuration, structured errors, request identifiers, model and parameter registries, and the checksummed migration framework. Legacy routes remained active while additive v3 endpoints were introduced under /api/v2.</w:t>
      </w:r>
    </w:p>
    <w:p>
      <w:pPr>
        <w:pStyle w:val="Heading2"/>
        <w:keepNext/>
      </w:pPr>
      <w:r>
        <w:rPr>
          <w:rFonts w:ascii="Times New Roman" w:hAnsi="Times New Roman" w:eastAsia="Times New Roman"/>
        </w:rPr>
        <w:t>Contract Principles</w:t>
      </w:r>
    </w:p>
    <w:p>
      <w:pPr>
        <w:pStyle w:val="ListBullet"/>
        <w:spacing w:after="40"/>
      </w:pPr>
      <w:r>
        <w:rPr>
          <w:rFonts w:ascii="Times New Roman" w:hAnsi="Times New Roman" w:eastAsia="Times New Roman"/>
        </w:rPr>
        <w:t>Unknown fields are rejected.</w:t>
      </w:r>
    </w:p>
    <w:p>
      <w:pPr>
        <w:pStyle w:val="ListBullet"/>
        <w:spacing w:after="40"/>
      </w:pPr>
      <w:r>
        <w:rPr>
          <w:rFonts w:ascii="Times New Roman" w:hAnsi="Times New Roman" w:eastAsia="Times New Roman"/>
        </w:rPr>
        <w:t>Datetimes require explicit time zones.</w:t>
      </w:r>
    </w:p>
    <w:p>
      <w:pPr>
        <w:pStyle w:val="ListBullet"/>
        <w:spacing w:after="40"/>
      </w:pPr>
      <w:r>
        <w:rPr>
          <w:rFonts w:ascii="Times New Roman" w:hAnsi="Times New Roman" w:eastAsia="Times New Roman"/>
        </w:rPr>
        <w:t>Probability and suitability scales are standardized.</w:t>
      </w:r>
    </w:p>
    <w:p>
      <w:pPr>
        <w:pStyle w:val="ListBullet"/>
        <w:spacing w:after="40"/>
      </w:pPr>
      <w:r>
        <w:rPr>
          <w:rFonts w:ascii="Times New Roman" w:hAnsi="Times New Roman" w:eastAsia="Times New Roman"/>
        </w:rPr>
        <w:t>Units and feature order are explicit.</w:t>
      </w:r>
    </w:p>
    <w:p>
      <w:pPr>
        <w:pStyle w:val="ListBullet"/>
        <w:spacing w:after="40"/>
      </w:pPr>
      <w:r>
        <w:rPr>
          <w:rFonts w:ascii="Times New Roman" w:hAnsi="Times New Roman" w:eastAsia="Times New Roman"/>
        </w:rPr>
        <w:t>Every analytical run records model, parameter, farm-data, and source versions.</w:t>
      </w:r>
    </w:p>
    <w:p>
      <w:pPr>
        <w:pStyle w:val="Heading2"/>
        <w:keepNext/>
      </w:pPr>
      <w:r>
        <w:rPr>
          <w:rFonts w:ascii="Times New Roman" w:hAnsi="Times New Roman" w:eastAsia="Times New Roman"/>
        </w:rPr>
        <w:t>Engine Boundary</w:t>
      </w:r>
    </w:p>
    <w:p>
      <w:pPr>
        <w:spacing w:after="120" w:line="240" w:lineRule="auto"/>
      </w:pPr>
      <w:r>
        <w:rPr>
          <w:rFonts w:ascii="Times New Roman" w:hAnsi="Times New Roman" w:eastAsia="Times New Roman"/>
        </w:rPr>
        <w:t>Every analytical engine implements input validation, execution timing, output validation, descriptor metadata, and safe exception translation. Domain-specific calculations remain inside each engine implementation.</w:t>
      </w:r>
    </w:p>
    <w:p>
      <w:r>
        <w:rPr>
          <w:rFonts w:ascii="Times New Roman" w:hAnsi="Times New Roman" w:eastAsia="Times New Roman"/>
        </w:rPr>
        <w:br w:type="page"/>
      </w:r>
    </w:p>
    <w:p>
      <w:pPr>
        <w:pStyle w:val="Heading1"/>
        <w:keepNext/>
      </w:pPr>
      <w:r>
        <w:rPr>
          <w:rFonts w:ascii="Times New Roman" w:hAnsi="Times New Roman" w:eastAsia="Times New Roman"/>
        </w:rPr>
        <w:t>8. Phase 2: Data Foundation and PCA Registry</w:t>
      </w:r>
    </w:p>
    <w:p>
      <w:pPr>
        <w:spacing w:after="120" w:line="240" w:lineRule="auto"/>
      </w:pPr>
      <w:r>
        <w:rPr>
          <w:rFonts w:ascii="Times New Roman" w:hAnsi="Times New Roman" w:eastAsia="Times New Roman"/>
        </w:rPr>
        <w:t>Phase 2 normalized the PCA reference material and farmer workbook. It created structured tables for source documents, coconut varieties, variety parameters, pest profiles, evidence rules, management actions, intercrops, canopy-light parameters, fertilization scenarios, and restricted farmer imports.</w:t>
      </w:r>
    </w:p>
    <w:p>
      <w:pPr>
        <w:pStyle w:val="Heading2"/>
        <w:keepNext/>
      </w:pPr>
      <w:r>
        <w:rPr>
          <w:rFonts w:ascii="Times New Roman" w:hAnsi="Times New Roman" w:eastAsia="Times New Roman"/>
        </w:rPr>
        <w:t>PCA Reference Use</w:t>
      </w:r>
    </w:p>
    <w:tbl>
      <w:tblPr>
        <w:tblW w:type="auto" w:w="0"/>
        <w:jc w:val="center"/>
        <w:tblLayout w:type="autofit"/>
        <w:tblLook w:firstColumn="1" w:firstRow="1" w:lastColumn="0" w:lastRow="0" w:noHBand="0" w:noVBand="1" w:val="04A0"/>
      </w:tblPr>
      <w:tblGrid>
        <w:gridCol w:w="4824"/>
        <w:gridCol w:w="4824"/>
      </w:tblGrid>
      <w:tr>
        <w:trPr>
          <w:tblHeader w:val="true"/>
        </w:trPr>
        <w:tc>
          <w:tcPr>
            <w:tcW w:type="dxa" w:w="4824"/>
            <w:vAlign w:val="center"/>
            <w:tcBorders>
              <w:top w:val="single" w:sz="4" w:color="000000"/>
              <w:left w:val="single" w:sz="4" w:color="000000"/>
              <w:bottom w:val="single" w:sz="4" w:color="000000"/>
              <w:right w:val="single" w:sz="4" w:color="000000"/>
            </w:tcBorders>
          </w:tcPr>
          <w:p>
            <w:pPr>
              <w:jc w:val="center"/>
            </w:pPr>
            <w:r>
              <w:rPr>
                <w:rFonts w:ascii="Times New Roman" w:hAnsi="Times New Roman" w:eastAsia="Times New Roman"/>
                <w:b/>
                <w:sz w:val="19"/>
              </w:rPr>
              <w:t>Reference category</w:t>
            </w:r>
          </w:p>
        </w:tc>
        <w:tc>
          <w:tcPr>
            <w:tcW w:type="dxa" w:w="4824"/>
            <w:vAlign w:val="center"/>
            <w:tcBorders>
              <w:top w:val="single" w:sz="4" w:color="000000"/>
              <w:left w:val="single" w:sz="4" w:color="000000"/>
              <w:bottom w:val="single" w:sz="4" w:color="000000"/>
              <w:right w:val="single" w:sz="4" w:color="000000"/>
            </w:tcBorders>
          </w:tcPr>
          <w:p>
            <w:pPr>
              <w:jc w:val="center"/>
            </w:pPr>
            <w:r>
              <w:rPr>
                <w:rFonts w:ascii="Times New Roman" w:hAnsi="Times New Roman" w:eastAsia="Times New Roman"/>
                <w:b/>
                <w:sz w:val="19"/>
              </w:rPr>
              <w:t>Engineering use</w:t>
            </w:r>
          </w:p>
        </w:tc>
      </w:tr>
      <w:tr>
        <w:tc>
          <w:tcPr>
            <w:tcW w:type="dxa" w:w="4824"/>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Tall, dwarf, and hybrid varieties</w:t>
            </w:r>
          </w:p>
        </w:tc>
        <w:tc>
          <w:tcPr>
            <w:tcW w:type="dxa" w:w="4824"/>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Variety-specific priors, flowering age, yield baselines, and product conversion factors.</w:t>
            </w:r>
          </w:p>
        </w:tc>
      </w:tr>
      <w:tr>
        <w:tc>
          <w:tcPr>
            <w:tcW w:type="dxa" w:w="4824"/>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Pest and disease materials</w:t>
            </w:r>
          </w:p>
        </w:tc>
        <w:tc>
          <w:tcPr>
            <w:tcW w:type="dxa" w:w="4824"/>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Evidence variables, likelihood adjustments, symptoms, management actions, and quarantine notes.</w:t>
            </w:r>
          </w:p>
        </w:tc>
      </w:tr>
      <w:tr>
        <w:tc>
          <w:tcPr>
            <w:tcW w:type="dxa" w:w="4824"/>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Fertilization guidance</w:t>
            </w:r>
          </w:p>
        </w:tc>
        <w:tc>
          <w:tcPr>
            <w:tcW w:type="dxa" w:w="4824"/>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Selectable management scenarios and timing rules.</w:t>
            </w:r>
          </w:p>
        </w:tc>
      </w:tr>
      <w:tr>
        <w:tc>
          <w:tcPr>
            <w:tcW w:type="dxa" w:w="4824"/>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Intercropping brochure</w:t>
            </w:r>
          </w:p>
        </w:tc>
        <w:tc>
          <w:tcPr>
            <w:tcW w:type="dxa" w:w="4824"/>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Crop light groups and canopy-light transmission parameters.</w:t>
            </w:r>
          </w:p>
        </w:tc>
      </w:tr>
    </w:tbl>
    <w:p>
      <w:pPr>
        <w:spacing w:after="0"/>
      </w:pPr>
    </w:p>
    <w:p>
      <w:pPr>
        <w:pStyle w:val="Heading2"/>
        <w:keepNext/>
      </w:pPr>
      <w:r>
        <w:rPr>
          <w:rFonts w:ascii="Times New Roman" w:hAnsi="Times New Roman" w:eastAsia="Times New Roman"/>
        </w:rPr>
        <w:t>Farmer Data Pipeline</w:t>
      </w:r>
    </w:p>
    <w:p>
      <w:pPr>
        <w:spacing w:after="120" w:line="240" w:lineRule="auto"/>
      </w:pPr>
      <w:r>
        <w:rPr>
          <w:rFonts w:ascii="Times New Roman" w:hAnsi="Times New Roman" w:eastAsia="Times New Roman"/>
        </w:rPr>
        <w:t>The workbook was processed through raw import, quarantined staging, protected identity storage, and analytical registry layers. Invalid values were flagged rather than silently corrected. Farmer names were separated from analytical records.</w:t>
      </w:r>
    </w:p>
    <w:p>
      <w:pPr>
        <w:spacing w:after="120" w:line="240" w:lineRule="auto"/>
      </w:pPr>
      <w:r>
        <w:rPr>
          <w:rFonts w:ascii="Times New Roman" w:hAnsi="Times New Roman" w:eastAsia="Times New Roman"/>
        </w:rPr>
        <w:t>The audit identified duplicate groups, inconsistent areas, zero-tree and zero-area conflicts, extreme tree densities, malformed dates, and character-encoding defects. These quality flags remain attached to imported records.</w:t>
      </w:r>
    </w:p>
    <w:p>
      <w:r>
        <w:rPr>
          <w:rFonts w:ascii="Times New Roman" w:hAnsi="Times New Roman" w:eastAsia="Times New Roman"/>
        </w:rPr>
        <w:br w:type="page"/>
      </w:r>
    </w:p>
    <w:p>
      <w:pPr>
        <w:pStyle w:val="Heading1"/>
        <w:keepNext/>
      </w:pPr>
      <w:r>
        <w:rPr>
          <w:rFonts w:ascii="Times New Roman" w:hAnsi="Times New Roman" w:eastAsia="Times New Roman"/>
        </w:rPr>
        <w:t>9. Phase 3: Weather Assimilation</w:t>
      </w:r>
    </w:p>
    <w:p>
      <w:pPr>
        <w:spacing w:after="120" w:line="240" w:lineRule="auto"/>
      </w:pPr>
      <w:r>
        <w:rPr>
          <w:rFonts w:ascii="Times New Roman" w:hAnsi="Times New Roman" w:eastAsia="Times New Roman"/>
        </w:rPr>
        <w:t>Phase 3 implemented immutable weather runs, normalized weather values, feature sets, provider caching, stale-cache disclosure, and agricultural lag features. Live forecasts are capped at 16 days. Historical values are retained for lagged feature engineering and are labeled separately from forecasts.</w:t>
      </w:r>
    </w:p>
    <w:p>
      <w:pPr>
        <w:pStyle w:val="Heading2"/>
        <w:keepNext/>
      </w:pPr>
      <w:r>
        <w:rPr>
          <w:rFonts w:ascii="Times New Roman" w:hAnsi="Times New Roman" w:eastAsia="Times New Roman"/>
        </w:rPr>
        <w:t>Weather Feature Vector</w:t>
      </w:r>
    </w:p>
    <w:p>
      <w:pPr>
        <w:spacing w:before="80" w:after="120"/>
        <w:jc w:val="center"/>
      </w:pPr>
      <w:r>
        <w:rPr>
          <w:rFonts w:ascii="Times New Roman" w:hAnsi="Times New Roman" w:eastAsia="Times New Roman"/>
          <w:i/>
          <w:sz w:val="20"/>
        </w:rPr>
        <w:t>\[\mathbf{W}_t = [R_t, T_t, T^{\max}_t, H_t, VPD_t, ET0_t, SM_t, SR_t, U_t, G_t]\]</w:t>
      </w:r>
    </w:p>
    <w:p>
      <w:pPr>
        <w:spacing w:after="120" w:line="240" w:lineRule="auto"/>
      </w:pPr>
      <w:r>
        <w:rPr>
          <w:rFonts w:ascii="Times New Roman" w:hAnsi="Times New Roman" w:eastAsia="Times New Roman"/>
        </w:rPr>
        <w:t>The weather adapter produces rainfall totals, moisture balance, consecutive dry days, heat-stress days, forecast rainfall, maximum gust, solar radiation, humidity, vapor-pressure deficit, and soil-moisture indicators.</w:t>
      </w:r>
    </w:p>
    <w:p>
      <w:pPr>
        <w:spacing w:before="80" w:after="120"/>
        <w:jc w:val="center"/>
      </w:pPr>
      <w:r>
        <w:rPr>
          <w:rFonts w:ascii="Times New Roman" w:hAnsi="Times New Roman" w:eastAsia="Times New Roman"/>
          <w:i/>
          <w:sz w:val="20"/>
        </w:rPr>
        <w:t>\[R_{30,t} = \sum_{d=t-29}^{t} R_d\]</w:t>
      </w:r>
    </w:p>
    <w:p>
      <w:pPr>
        <w:spacing w:before="80" w:after="120"/>
        <w:jc w:val="center"/>
      </w:pPr>
      <w:r>
        <w:rPr>
          <w:rFonts w:ascii="Times New Roman" w:hAnsi="Times New Roman" w:eastAsia="Times New Roman"/>
          <w:i/>
          <w:sz w:val="20"/>
        </w:rPr>
        <w:t>\[D_t = \max(\text{consecutive dry days ending at } t)\]</w:t>
      </w:r>
    </w:p>
    <w:p>
      <w:pPr>
        <w:spacing w:before="80" w:after="120"/>
        <w:jc w:val="center"/>
      </w:pPr>
      <w:r>
        <w:rPr>
          <w:rFonts w:ascii="Times New Roman" w:hAnsi="Times New Roman" w:eastAsia="Times New Roman"/>
          <w:i/>
          <w:sz w:val="20"/>
        </w:rPr>
        <w:t>\[HS_t = \sum_{d=t-29}^{t} \mathbb{I}(T^{\max}_d &gt; T_{\text{critical}})\]</w:t>
      </w:r>
    </w:p>
    <w:p>
      <w:pPr>
        <w:pStyle w:val="Heading2"/>
        <w:keepNext/>
      </w:pPr>
      <w:r>
        <w:rPr>
          <w:rFonts w:ascii="Times New Roman" w:hAnsi="Times New Roman" w:eastAsia="Times New Roman"/>
        </w:rPr>
        <w:t>Provider Resilience</w:t>
      </w:r>
    </w:p>
    <w:p>
      <w:pPr>
        <w:spacing w:after="120" w:line="240" w:lineRule="auto"/>
      </w:pPr>
      <w:r>
        <w:rPr>
          <w:rFonts w:ascii="Times New Roman" w:hAnsi="Times New Roman" w:eastAsia="Times New Roman"/>
        </w:rPr>
        <w:t>Later setup hotfixes added system certificate-store support, retries, proxy-aware direct fallback, explicit timeouts, diagnostic scripts, and a short external virtual-environment path to prevent Windows MAX_PATH failures during lxml installation.</w:t>
      </w:r>
    </w:p>
    <w:p>
      <w:r>
        <w:rPr>
          <w:rFonts w:ascii="Times New Roman" w:hAnsi="Times New Roman" w:eastAsia="Times New Roman"/>
        </w:rPr>
        <w:br w:type="page"/>
      </w:r>
    </w:p>
    <w:p>
      <w:pPr>
        <w:pStyle w:val="Heading1"/>
        <w:keepNext/>
      </w:pPr>
      <w:r>
        <w:rPr>
          <w:rFonts w:ascii="Times New Roman" w:hAnsi="Times New Roman" w:eastAsia="Times New Roman"/>
        </w:rPr>
        <w:t>10. Phase 4: Production Engine Preservation</w:t>
      </w:r>
    </w:p>
    <w:p>
      <w:pPr>
        <w:spacing w:after="120" w:line="240" w:lineRule="auto"/>
      </w:pPr>
      <w:r>
        <w:rPr>
          <w:rFonts w:ascii="Times New Roman" w:hAnsi="Times New Roman" w:eastAsia="Times New Roman"/>
        </w:rPr>
        <w:t>Phase 4 preserved the retained production model without altering its learned weights. A versioned feature adapter freezes the original 19-feature order and converts new weather and farm inputs into the legacy model contract.</w:t>
      </w:r>
    </w:p>
    <w:p>
      <w:pPr>
        <w:spacing w:before="80" w:after="120"/>
        <w:jc w:val="center"/>
      </w:pPr>
      <w:r>
        <w:rPr>
          <w:rFonts w:ascii="Times New Roman" w:hAnsi="Times New Roman" w:eastAsia="Times New Roman"/>
          <w:i/>
          <w:sz w:val="20"/>
        </w:rPr>
        <w:t>\[\widehat{Y}^{ML}_{g,t} = f_{ML}(\mathbf{X}_{g,t})\]</w:t>
      </w:r>
    </w:p>
    <w:p>
      <w:pPr>
        <w:spacing w:before="80" w:after="120"/>
        <w:jc w:val="center"/>
      </w:pPr>
      <w:r>
        <w:rPr>
          <w:rFonts w:ascii="Times New Roman" w:hAnsi="Times New Roman" w:eastAsia="Times New Roman"/>
          <w:i/>
          <w:sz w:val="20"/>
        </w:rPr>
        <w:t>\[\widehat{Y}^{variety}_{g,t} = \widehat{Y}^{ML}_{g,t} \times a_v\]</w:t>
      </w:r>
    </w:p>
    <w:p>
      <w:pPr>
        <w:spacing w:after="120" w:line="240" w:lineRule="auto"/>
      </w:pPr>
      <w:r>
        <w:rPr>
          <w:rFonts w:ascii="Times New Roman" w:hAnsi="Times New Roman" w:eastAsia="Times New Roman"/>
        </w:rPr>
        <w:t>The variety adjustment factor is bounded and derived from PCA reference parameters within the selected tall, dwarf, or hybrid class. Raw ML and variety-adjusted predictions remain separate. The Bayesian posterior field remains null until Phase 5 runs.</w:t>
      </w:r>
    </w:p>
    <w:p>
      <w:pPr>
        <w:pStyle w:val="Heading2"/>
        <w:keepNext/>
      </w:pPr>
      <w:r>
        <w:rPr>
          <w:rFonts w:ascii="Times New Roman" w:hAnsi="Times New Roman" w:eastAsia="Times New Roman"/>
        </w:rPr>
        <w:t>Product Conversions</w:t>
      </w:r>
    </w:p>
    <w:p>
      <w:pPr>
        <w:spacing w:after="120" w:line="240" w:lineRule="auto"/>
      </w:pPr>
      <w:r>
        <w:rPr>
          <w:rFonts w:ascii="Times New Roman" w:hAnsi="Times New Roman" w:eastAsia="Times New Roman"/>
        </w:rPr>
        <w:t>Where PCA reference parameters are available, the system converts production into mature nuts, young nuts, copra, husk, shell, meat, water, and whole-fruit estimates. Each conversion records its parameter names and source basis.</w:t>
      </w:r>
    </w:p>
    <w:p>
      <w:pPr>
        <w:pStyle w:val="Heading2"/>
        <w:keepNext/>
      </w:pPr>
      <w:r>
        <w:rPr>
          <w:rFonts w:ascii="Times New Roman" w:hAnsi="Times New Roman" w:eastAsia="Times New Roman"/>
        </w:rPr>
        <w:t>New Intercropping Income Data</w:t>
      </w:r>
    </w:p>
    <w:p>
      <w:pPr>
        <w:spacing w:after="120" w:line="240" w:lineRule="auto"/>
      </w:pPr>
      <w:r>
        <w:rPr>
          <w:rFonts w:ascii="Times New Roman" w:hAnsi="Times New Roman" w:eastAsia="Times New Roman"/>
        </w:rPr>
        <w:t>The Region XII income workbook was assessed separately. Sanitized aggregate cacao and coffee gross-income profiles were retained as economic scenarios. Row-level names were not exposed, and the data was not used as a supervised machine-learning training set.</w:t>
      </w:r>
    </w:p>
    <w:p>
      <w:r>
        <w:rPr>
          <w:rFonts w:ascii="Times New Roman" w:hAnsi="Times New Roman" w:eastAsia="Times New Roman"/>
        </w:rPr>
        <w:br w:type="page"/>
      </w:r>
    </w:p>
    <w:p>
      <w:pPr>
        <w:pStyle w:val="Heading1"/>
        <w:keepNext/>
      </w:pPr>
      <w:r>
        <w:rPr>
          <w:rFonts w:ascii="Times New Roman" w:hAnsi="Times New Roman" w:eastAsia="Times New Roman"/>
        </w:rPr>
        <w:t>11. Phase 5: Bayesian Farm-State Simulation</w:t>
      </w:r>
    </w:p>
    <w:p>
      <w:pPr>
        <w:spacing w:after="120" w:line="240" w:lineRule="auto"/>
      </w:pPr>
      <w:r>
        <w:rPr>
          <w:rFonts w:ascii="Times New Roman" w:hAnsi="Times New Roman" w:eastAsia="Times New Roman"/>
        </w:rPr>
        <w:t>Phase 5 replaced arbitrary percentage adjustment with a particle-based dynamic farm-state model. Each particle carries palm-state counts, soil-fertility and soil-water indices, uncertain transition parameters, and a production outcome.</w:t>
      </w:r>
    </w:p>
    <w:p>
      <w:pPr>
        <w:spacing w:before="80" w:after="120"/>
        <w:jc w:val="center"/>
      </w:pPr>
      <w:r>
        <w:rPr>
          <w:rFonts w:ascii="Times New Roman" w:hAnsi="Times New Roman" w:eastAsia="Times New Roman"/>
          <w:i/>
          <w:sz w:val="20"/>
        </w:rPr>
        <w:t>\[\mathbf{S}_{g,t} = [N^Y, N^B, N^A, N^S, N^I, N^R, N^D, F, M, Y]\]</w:t>
      </w:r>
    </w:p>
    <w:p>
      <w:pPr>
        <w:spacing w:before="80" w:after="120"/>
        <w:jc w:val="center"/>
      </w:pPr>
      <w:r>
        <w:rPr>
          <w:rFonts w:ascii="Times New Roman" w:hAnsi="Times New Roman" w:eastAsia="Times New Roman"/>
          <w:i/>
          <w:sz w:val="20"/>
        </w:rPr>
        <w:t>\[p(\theta \mid D_{1:t}) \propto p(D_t \mid \theta) p(\theta \mid D_{1:t-1})\]</w:t>
      </w:r>
    </w:p>
    <w:p>
      <w:pPr>
        <w:spacing w:before="80" w:after="120"/>
        <w:jc w:val="center"/>
      </w:pPr>
      <w:r>
        <w:rPr>
          <w:rFonts w:ascii="Times New Roman" w:hAnsi="Times New Roman" w:eastAsia="Times New Roman"/>
          <w:i/>
          <w:sz w:val="20"/>
        </w:rPr>
        <w:t>\[w_t^{(i)} \propto w_{t-1}^{(i)} p(D_t \mid \mathbf{S}_t^{(i)}, \theta^{(i)})\]</w:t>
      </w:r>
    </w:p>
    <w:p>
      <w:pPr>
        <w:spacing w:before="80" w:after="120"/>
        <w:jc w:val="center"/>
      </w:pPr>
      <w:r>
        <w:rPr>
          <w:rFonts w:ascii="Times New Roman" w:hAnsi="Times New Roman" w:eastAsia="Times New Roman"/>
          <w:i/>
          <w:sz w:val="20"/>
        </w:rPr>
        <w:t>\[ESS = \frac{1}{\sum_{i=1}^{N} (\tilde{w}_i)^2}\]</w:t>
      </w:r>
    </w:p>
    <w:p>
      <w:pPr>
        <w:spacing w:after="120" w:line="240" w:lineRule="auto"/>
      </w:pPr>
      <w:r>
        <w:rPr>
          <w:rFonts w:ascii="Times New Roman" w:hAnsi="Times New Roman" w:eastAsia="Times New Roman"/>
        </w:rPr>
        <w:t>The simulator supports deterministic seeds, 100 to 5,000 particles, sequential posterior updates, systematic resampling, and palm-position conservation. Predicted and suspected evidence receives zero update weight. Farmer-reported, field-confirmed, and expert-confirmed evidence receives increasing reliability.</w:t>
      </w:r>
    </w:p>
    <w:p>
      <w:pPr>
        <w:pStyle w:val="Heading2"/>
        <w:keepNext/>
      </w:pPr>
      <w:r>
        <w:rPr>
          <w:rFonts w:ascii="Times New Roman" w:hAnsi="Times New Roman" w:eastAsia="Times New Roman"/>
        </w:rPr>
        <w:t>Posterior Output</w:t>
      </w:r>
    </w:p>
    <w:p>
      <w:pPr>
        <w:pStyle w:val="ListBullet"/>
        <w:spacing w:after="40"/>
      </w:pPr>
      <w:r>
        <w:rPr>
          <w:rFonts w:ascii="Times New Roman" w:hAnsi="Times New Roman" w:eastAsia="Times New Roman"/>
        </w:rPr>
        <w:t>Median production and 5th to 95th percentile interval.</w:t>
      </w:r>
    </w:p>
    <w:p>
      <w:pPr>
        <w:pStyle w:val="ListBullet"/>
        <w:spacing w:after="40"/>
      </w:pPr>
      <w:r>
        <w:rPr>
          <w:rFonts w:ascii="Times New Roman" w:hAnsi="Times New Roman" w:eastAsia="Times New Roman"/>
        </w:rPr>
        <w:t>Palm-state credible intervals.</w:t>
      </w:r>
    </w:p>
    <w:p>
      <w:pPr>
        <w:pStyle w:val="ListBullet"/>
        <w:spacing w:after="40"/>
      </w:pPr>
      <w:r>
        <w:rPr>
          <w:rFonts w:ascii="Times New Roman" w:hAnsi="Times New Roman" w:eastAsia="Times New Roman"/>
        </w:rPr>
        <w:t>Probability of decline, recovery, tree mortality, and pest outbreak.</w:t>
      </w:r>
    </w:p>
    <w:p>
      <w:pPr>
        <w:pStyle w:val="ListBullet"/>
        <w:spacing w:after="40"/>
      </w:pPr>
      <w:r>
        <w:rPr>
          <w:rFonts w:ascii="Times New Roman" w:hAnsi="Times New Roman" w:eastAsia="Times New Roman"/>
        </w:rPr>
        <w:t>Posterior parameter summaries and main uncertainty sources.</w:t>
      </w:r>
    </w:p>
    <w:p>
      <w:pPr>
        <w:pStyle w:val="ListBullet"/>
        <w:spacing w:after="40"/>
      </w:pPr>
      <w:r>
        <w:rPr>
          <w:rFonts w:ascii="Times New Roman" w:hAnsi="Times New Roman" w:eastAsia="Times New Roman"/>
        </w:rPr>
        <w:t>Evidence-assimilation audit and effective sample-size diagnostics.</w:t>
      </w:r>
    </w:p>
    <w:p>
      <w:r>
        <w:rPr>
          <w:rFonts w:ascii="Times New Roman" w:hAnsi="Times New Roman" w:eastAsia="Times New Roman"/>
        </w:rPr>
        <w:br w:type="page"/>
      </w:r>
    </w:p>
    <w:p>
      <w:pPr>
        <w:pStyle w:val="Heading1"/>
        <w:keepNext/>
      </w:pPr>
      <w:r>
        <w:rPr>
          <w:rFonts w:ascii="Times New Roman" w:hAnsi="Times New Roman" w:eastAsia="Times New Roman"/>
        </w:rPr>
        <w:t>12. Phase 6: Pest-Risk Inference</w:t>
      </w:r>
    </w:p>
    <w:p>
      <w:pPr>
        <w:spacing w:after="120" w:line="240" w:lineRule="auto"/>
      </w:pPr>
      <w:r>
        <w:rPr>
          <w:rFonts w:ascii="Times New Roman" w:hAnsi="Times New Roman" w:eastAsia="Times New Roman"/>
        </w:rPr>
        <w:t>Phase 6 implemented separate evidence models for coconut scale insect, coconut rhinoceros beetle, coconut leaf beetle, Asiatic palm weevil, and coconut bud and nut rot. Each profile retains its own priors, evidence factors, symptoms, management actions, and source citations.</w:t>
      </w:r>
    </w:p>
    <w:p>
      <w:pPr>
        <w:spacing w:before="80" w:after="120"/>
        <w:jc w:val="center"/>
      </w:pPr>
      <w:r>
        <w:rPr>
          <w:rFonts w:ascii="Times New Roman" w:hAnsi="Times New Roman" w:eastAsia="Times New Roman"/>
          <w:i/>
          <w:sz w:val="20"/>
        </w:rPr>
        <w:t>\[P_{p,g,t} = \sigma(\beta_{0,p} + \boldsymbol{\beta}_p^T \mathbf{X}_{g,t})\]</w:t>
      </w:r>
    </w:p>
    <w:p>
      <w:pPr>
        <w:spacing w:before="80" w:after="120"/>
        <w:jc w:val="center"/>
      </w:pPr>
      <w:r>
        <w:rPr>
          <w:rFonts w:ascii="Times New Roman" w:hAnsi="Times New Roman" w:eastAsia="Times New Roman"/>
          <w:i/>
          <w:sz w:val="20"/>
        </w:rPr>
        <w:t>\[P^{*}_{p,g,t} = 1 - (1-P_{p,g,t}) \prod_{h \ne g} (1-k_p(d_{gh})P_{p,h,t})\]</w:t>
      </w:r>
    </w:p>
    <w:p>
      <w:pPr>
        <w:pStyle w:val="Heading2"/>
        <w:keepNext/>
      </w:pPr>
      <w:r>
        <w:rPr>
          <w:rFonts w:ascii="Times New Roman" w:hAnsi="Times New Roman" w:eastAsia="Times New Roman"/>
        </w:rPr>
        <w:t>Loss Definitions</w:t>
      </w:r>
    </w:p>
    <w:p>
      <w:pPr>
        <w:spacing w:before="80" w:after="120"/>
        <w:jc w:val="center"/>
      </w:pPr>
      <w:r>
        <w:rPr>
          <w:rFonts w:ascii="Times New Roman" w:hAnsi="Times New Roman" w:eastAsia="Times New Roman"/>
          <w:i/>
          <w:sz w:val="20"/>
        </w:rPr>
        <w:t>\[L_p^{conditional} = Y_{exposed} f_p(\text{severity}, \text{duration}, \text{palm age})\]</w:t>
      </w:r>
    </w:p>
    <w:p>
      <w:pPr>
        <w:spacing w:before="80" w:after="120"/>
        <w:jc w:val="center"/>
      </w:pPr>
      <w:r>
        <w:rPr>
          <w:rFonts w:ascii="Times New Roman" w:hAnsi="Times New Roman" w:eastAsia="Times New Roman"/>
          <w:i/>
          <w:sz w:val="20"/>
        </w:rPr>
        <w:t>\[\mathbb{E}[L_p] = P(\text{outbreak}) L_p^{conditional}\]</w:t>
      </w:r>
    </w:p>
    <w:p>
      <w:pPr>
        <w:spacing w:after="120" w:line="240" w:lineRule="auto"/>
      </w:pPr>
      <w:r>
        <w:rPr>
          <w:rFonts w:ascii="Times New Roman" w:hAnsi="Times New Roman" w:eastAsia="Times New Roman"/>
        </w:rPr>
        <w:t>The interface and database preserve conditional loss and expected loss as separate quantities. A low-probability severe event is not displayed as though the full conditional loss were expected.</w:t>
      </w:r>
    </w:p>
    <w:p>
      <w:pPr>
        <w:pStyle w:val="Heading2"/>
        <w:keepNext/>
      </w:pPr>
      <w:r>
        <w:rPr>
          <w:rFonts w:ascii="Times New Roman" w:hAnsi="Times New Roman" w:eastAsia="Times New Roman"/>
        </w:rPr>
        <w:t>Evidence Safety</w:t>
      </w:r>
    </w:p>
    <w:p>
      <w:pPr>
        <w:spacing w:after="120" w:line="240" w:lineRule="auto"/>
      </w:pPr>
      <w:r>
        <w:rPr>
          <w:rFonts w:ascii="Times New Roman" w:hAnsi="Times New Roman" w:eastAsia="Times New Roman"/>
        </w:rPr>
        <w:t>Predicted and suspected observations are stored but cannot alter outbreak probability. Field prevalence can create a linked Bayesian pest-prevalence observation. The engine does not generate pesticide dosage and does not claim laboratory diagnosis.</w:t>
      </w:r>
    </w:p>
    <w:p>
      <w:r>
        <w:rPr>
          <w:rFonts w:ascii="Times New Roman" w:hAnsi="Times New Roman" w:eastAsia="Times New Roman"/>
        </w:rPr>
        <w:br w:type="page"/>
      </w:r>
    </w:p>
    <w:p>
      <w:pPr>
        <w:pStyle w:val="Heading1"/>
        <w:keepNext/>
      </w:pPr>
      <w:r>
        <w:rPr>
          <w:rFonts w:ascii="Times New Roman" w:hAnsi="Times New Roman" w:eastAsia="Times New Roman"/>
        </w:rPr>
        <w:t>13. Phase 7: Intercropping Potential</w:t>
      </w:r>
    </w:p>
    <w:p>
      <w:pPr>
        <w:spacing w:after="120" w:line="240" w:lineRule="auto"/>
      </w:pPr>
      <w:r>
        <w:rPr>
          <w:rFonts w:ascii="Times New Roman" w:hAnsi="Times New Roman" w:eastAsia="Times New Roman"/>
        </w:rPr>
        <w:t>Phase 7 implemented a transparent evidence-scoring engine for 35 candidate crops using 81 digitized PCA canopy-light records. The model evaluates each crop in each farm cell and reports the score components, limiting factors, hard constraints, competition, pest conflict, layout, planting window, economics, confidence, and provenance.</w:t>
      </w:r>
    </w:p>
    <w:p>
      <w:pPr>
        <w:spacing w:before="80" w:after="120"/>
        <w:jc w:val="center"/>
      </w:pPr>
      <w:r>
        <w:rPr>
          <w:rFonts w:ascii="Times New Roman" w:hAnsi="Times New Roman" w:eastAsia="Times New Roman"/>
          <w:i/>
          <w:sz w:val="20"/>
        </w:rPr>
        <w:t>\[PAR_t = k_{PAR} SR_t\]</w:t>
      </w:r>
    </w:p>
    <w:p>
      <w:pPr>
        <w:spacing w:before="80" w:after="120"/>
        <w:jc w:val="center"/>
      </w:pPr>
      <w:r>
        <w:rPr>
          <w:rFonts w:ascii="Times New Roman" w:hAnsi="Times New Roman" w:eastAsia="Times New Roman"/>
          <w:i/>
          <w:sz w:val="20"/>
        </w:rPr>
        <w:t>\[PAR^{under}_{g,t} = PAR_t \times \tau(A_g, D_g, C_g, O_g, m)\]</w:t>
      </w:r>
    </w:p>
    <w:p>
      <w:pPr>
        <w:spacing w:before="80" w:after="120"/>
        <w:jc w:val="center"/>
      </w:pPr>
      <w:r>
        <w:rPr>
          <w:rFonts w:ascii="Times New Roman" w:hAnsi="Times New Roman" w:eastAsia="Times New Roman"/>
          <w:i/>
          <w:sz w:val="20"/>
        </w:rPr>
        <w:t>\[I_{c,g} = 100 \left(\prod_{j=1}^{m} S_{j,c,g}^{w_j}\right)^{1/\sum_j w_j}(1-P_{competition})(1-P_{pest\ conflict})\]</w:t>
      </w:r>
    </w:p>
    <w:p>
      <w:pPr>
        <w:spacing w:after="120" w:line="240" w:lineRule="auto"/>
      </w:pPr>
      <w:r>
        <w:rPr>
          <w:rFonts w:ascii="Times New Roman" w:hAnsi="Times New Roman" w:eastAsia="Times New Roman"/>
        </w:rPr>
        <w:t>The weighted geometric form prevents strong factors from fully hiding weak factors. Light and slope hard constraints cap unsuitable candidates at 40 points or lower. A high-light crop under a dense, mature coconut canopy cannot receive a high final score merely because secondary factors are favorable.</w:t>
      </w:r>
    </w:p>
    <w:p>
      <w:pPr>
        <w:pStyle w:val="Heading2"/>
        <w:keepNext/>
      </w:pPr>
      <w:r>
        <w:rPr>
          <w:rFonts w:ascii="Times New Roman" w:hAnsi="Times New Roman" w:eastAsia="Times New Roman"/>
        </w:rPr>
        <w:t>Economic Layer</w:t>
      </w:r>
    </w:p>
    <w:p>
      <w:pPr>
        <w:spacing w:after="120" w:line="240" w:lineRule="auto"/>
      </w:pPr>
      <w:r>
        <w:rPr>
          <w:rFonts w:ascii="Times New Roman" w:hAnsi="Times New Roman" w:eastAsia="Times New Roman"/>
        </w:rPr>
        <w:t>Cacao and coffee receive sanitized lower, median, and upper gross-revenue scenarios. These are not net-profit, ROI, or guaranteed-income predictions. Other crops explicitly report economic data as unavailable.</w:t>
      </w:r>
    </w:p>
    <w:p>
      <w:r>
        <w:rPr>
          <w:rFonts w:ascii="Times New Roman" w:hAnsi="Times New Roman" w:eastAsia="Times New Roman"/>
        </w:rPr>
        <w:br w:type="page"/>
      </w:r>
    </w:p>
    <w:p>
      <w:pPr>
        <w:pStyle w:val="Heading1"/>
        <w:keepNext/>
      </w:pPr>
      <w:r>
        <w:rPr>
          <w:rFonts w:ascii="Times New Roman" w:hAnsi="Times New Roman" w:eastAsia="Times New Roman"/>
        </w:rPr>
        <w:t>14. Phase 8: Rehabilitation and Scenario Optimization</w:t>
      </w:r>
    </w:p>
    <w:p>
      <w:pPr>
        <w:spacing w:after="120" w:line="240" w:lineRule="auto"/>
      </w:pPr>
      <w:r>
        <w:rPr>
          <w:rFonts w:ascii="Times New Roman" w:hAnsi="Times New Roman" w:eastAsia="Times New Roman"/>
        </w:rPr>
        <w:t>Phase 8 converts farm risks into cell-level work plans. It detects dead palms, aging palms, environmental stress, infestation, drainage problems, low fertility, declining production, nutrient deficiency, storm damage, pest risk, and intercropping opportunities.</w:t>
      </w:r>
    </w:p>
    <w:p>
      <w:pPr>
        <w:pStyle w:val="Heading2"/>
        <w:keepNext/>
      </w:pPr>
      <w:r>
        <w:rPr>
          <w:rFonts w:ascii="Times New Roman" w:hAnsi="Times New Roman" w:eastAsia="Times New Roman"/>
        </w:rPr>
        <w:t>Action Model</w:t>
      </w:r>
    </w:p>
    <w:p>
      <w:pPr>
        <w:spacing w:after="120" w:line="240" w:lineRule="auto"/>
      </w:pPr>
      <w:r>
        <w:rPr>
          <w:rFonts w:ascii="Times New Roman" w:hAnsi="Times New Roman" w:eastAsia="Times New Roman"/>
        </w:rPr>
        <w:t>Candidate actions include inspection, monitoring, sanitation, breeding-material removal, drainage improvement, organic matter, fertilizer correction, pest treatment, pruning, partial or complete replanting, variety replacement, and intercropping adjustment. Each action records evidence, timing, materials, labor, cost, recovery range, confidence, and field-confirmation requirements.</w:t>
      </w:r>
    </w:p>
    <w:p>
      <w:pPr>
        <w:pStyle w:val="Heading2"/>
        <w:keepNext/>
      </w:pPr>
      <w:r>
        <w:rPr>
          <w:rFonts w:ascii="Times New Roman" w:hAnsi="Times New Roman" w:eastAsia="Times New Roman"/>
        </w:rPr>
        <w:t>Scenario Utility</w:t>
      </w:r>
    </w:p>
    <w:p>
      <w:pPr>
        <w:spacing w:before="80" w:after="120"/>
        <w:jc w:val="center"/>
      </w:pPr>
      <w:r>
        <w:rPr>
          <w:rFonts w:ascii="Times New Roman" w:hAnsi="Times New Roman" w:eastAsia="Times New Roman"/>
          <w:i/>
          <w:sz w:val="20"/>
        </w:rPr>
        <w:t>\[U(a) = \mathbb{E}\left[\sum_{t=1}^{T}\delta^{t-1}(Y_t^{coconut}+Y_t^{intercrop})\right] - C(a) - \lambda P(\text{severe loss}\mid a)\]</w:t>
      </w:r>
    </w:p>
    <w:p>
      <w:pPr>
        <w:spacing w:after="120" w:line="240" w:lineRule="auto"/>
      </w:pPr>
      <w:r>
        <w:rPr>
          <w:rFonts w:ascii="Times New Roman" w:hAnsi="Times New Roman" w:eastAsia="Times New Roman"/>
        </w:rPr>
        <w:t>Six scenarios are always compared: no action, pest management, fertilization, replanting, intercropping, and combined rehabilitation. Budget and labor constraints determine feasibility. No action remains in the comparison even when intervention has higher utility.</w:t>
      </w:r>
    </w:p>
    <w:p>
      <w:pPr>
        <w:pStyle w:val="Heading2"/>
        <w:keepNext/>
      </w:pPr>
      <w:r>
        <w:rPr>
          <w:rFonts w:ascii="Times New Roman" w:hAnsi="Times New Roman" w:eastAsia="Times New Roman"/>
        </w:rPr>
        <w:t>Safety Controls</w:t>
      </w:r>
    </w:p>
    <w:p>
      <w:pPr>
        <w:spacing w:after="120" w:line="240" w:lineRule="auto"/>
      </w:pPr>
      <w:r>
        <w:rPr>
          <w:rFonts w:ascii="Times New Roman" w:hAnsi="Times New Roman" w:eastAsia="Times New Roman"/>
        </w:rPr>
        <w:t>A predicted storm or inferred pest risk triggers preparation and inspection, not automatic irreversible treatment. Pest treatment requires confirmed evidence. The system does not generate unverified chemical dosage.</w:t>
      </w:r>
    </w:p>
    <w:p>
      <w:r>
        <w:rPr>
          <w:rFonts w:ascii="Times New Roman" w:hAnsi="Times New Roman" w:eastAsia="Times New Roman"/>
        </w:rPr>
        <w:br w:type="page"/>
      </w:r>
    </w:p>
    <w:p>
      <w:pPr>
        <w:pStyle w:val="Heading1"/>
        <w:keepNext/>
      </w:pPr>
      <w:r>
        <w:rPr>
          <w:rFonts w:ascii="Times New Roman" w:hAnsi="Times New Roman" w:eastAsia="Times New Roman"/>
        </w:rPr>
        <w:t>15. Phase 9: Integrated Decision-Support Network</w:t>
      </w:r>
    </w:p>
    <w:p>
      <w:pPr>
        <w:spacing w:after="120" w:line="240" w:lineRule="auto"/>
      </w:pPr>
      <w:r>
        <w:rPr>
          <w:rFonts w:ascii="Times New Roman" w:hAnsi="Times New Roman" w:eastAsia="Times New Roman"/>
        </w:rPr>
        <w:t>Phase 9 creates the system-level integration layer. It resolves versioned source records, validates their farm and production relationships, records the status of each component, creates a consolidated overview, produces deterministic recommendations, and stores traceability edges.</w:t>
      </w:r>
    </w:p>
    <w:p>
      <w:pPr>
        <w:pStyle w:val="Heading2"/>
        <w:keepNext/>
      </w:pPr>
      <w:r>
        <w:rPr>
          <w:rFonts w:ascii="Times New Roman" w:hAnsi="Times New Roman" w:eastAsia="Times New Roman"/>
        </w:rPr>
        <w:t>Dependency Model</w:t>
      </w:r>
    </w:p>
    <w:tbl>
      <w:tblPr>
        <w:tblW w:type="auto" w:w="0"/>
        <w:jc w:val="center"/>
        <w:tblLayout w:type="autofit"/>
        <w:tblLook w:firstColumn="1" w:firstRow="1" w:lastColumn="0" w:lastRow="0" w:noHBand="0" w:noVBand="1" w:val="04A0"/>
      </w:tblPr>
      <w:tblGrid>
        <w:gridCol w:w="4824"/>
        <w:gridCol w:w="4824"/>
      </w:tblGrid>
      <w:tr>
        <w:trPr>
          <w:tblHeader w:val="true"/>
        </w:trPr>
        <w:tc>
          <w:tcPr>
            <w:tcW w:type="dxa" w:w="4824"/>
            <w:vAlign w:val="center"/>
            <w:tcBorders>
              <w:top w:val="single" w:sz="4" w:color="000000"/>
              <w:left w:val="single" w:sz="4" w:color="000000"/>
              <w:bottom w:val="single" w:sz="4" w:color="000000"/>
              <w:right w:val="single" w:sz="4" w:color="000000"/>
            </w:tcBorders>
          </w:tcPr>
          <w:p>
            <w:pPr>
              <w:jc w:val="center"/>
            </w:pPr>
            <w:r>
              <w:rPr>
                <w:rFonts w:ascii="Times New Roman" w:hAnsi="Times New Roman" w:eastAsia="Times New Roman"/>
                <w:b/>
                <w:sz w:val="19"/>
              </w:rPr>
              <w:t>Component</w:t>
            </w:r>
          </w:p>
        </w:tc>
        <w:tc>
          <w:tcPr>
            <w:tcW w:type="dxa" w:w="4824"/>
            <w:vAlign w:val="center"/>
            <w:tcBorders>
              <w:top w:val="single" w:sz="4" w:color="000000"/>
              <w:left w:val="single" w:sz="4" w:color="000000"/>
              <w:bottom w:val="single" w:sz="4" w:color="000000"/>
              <w:right w:val="single" w:sz="4" w:color="000000"/>
            </w:tcBorders>
          </w:tcPr>
          <w:p>
            <w:pPr>
              <w:jc w:val="center"/>
            </w:pPr>
            <w:r>
              <w:rPr>
                <w:rFonts w:ascii="Times New Roman" w:hAnsi="Times New Roman" w:eastAsia="Times New Roman"/>
                <w:b/>
                <w:sz w:val="19"/>
              </w:rPr>
              <w:t>Required upstream record</w:t>
            </w:r>
          </w:p>
        </w:tc>
      </w:tr>
      <w:tr>
        <w:tc>
          <w:tcPr>
            <w:tcW w:type="dxa" w:w="4824"/>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Production</w:t>
            </w:r>
          </w:p>
        </w:tc>
        <w:tc>
          <w:tcPr>
            <w:tcW w:type="dxa" w:w="4824"/>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None inside Phase 9; production is the mandatory root record.</w:t>
            </w:r>
          </w:p>
        </w:tc>
      </w:tr>
      <w:tr>
        <w:tc>
          <w:tcPr>
            <w:tcW w:type="dxa" w:w="4824"/>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Bayesian</w:t>
            </w:r>
          </w:p>
        </w:tc>
        <w:tc>
          <w:tcPr>
            <w:tcW w:type="dxa" w:w="4824"/>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Production forecast.</w:t>
            </w:r>
          </w:p>
        </w:tc>
      </w:tr>
      <w:tr>
        <w:tc>
          <w:tcPr>
            <w:tcW w:type="dxa" w:w="4824"/>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Pest</w:t>
            </w:r>
          </w:p>
        </w:tc>
        <w:tc>
          <w:tcPr>
            <w:tcW w:type="dxa" w:w="4824"/>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Production forecast; optional posterior conditioning may already be present in the source run.</w:t>
            </w:r>
          </w:p>
        </w:tc>
      </w:tr>
      <w:tr>
        <w:tc>
          <w:tcPr>
            <w:tcW w:type="dxa" w:w="4824"/>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Intercropping</w:t>
            </w:r>
          </w:p>
        </w:tc>
        <w:tc>
          <w:tcPr>
            <w:tcW w:type="dxa" w:w="4824"/>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Production forecast; optional pest and posterior conditioning may already be present.</w:t>
            </w:r>
          </w:p>
        </w:tc>
      </w:tr>
      <w:tr>
        <w:tc>
          <w:tcPr>
            <w:tcW w:type="dxa" w:w="4824"/>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Rehabilitation</w:t>
            </w:r>
          </w:p>
        </w:tc>
        <w:tc>
          <w:tcPr>
            <w:tcW w:type="dxa" w:w="4824"/>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Production forecast; optional posterior, pest, and intercropping records may already be present.</w:t>
            </w:r>
          </w:p>
        </w:tc>
      </w:tr>
    </w:tbl>
    <w:p>
      <w:pPr>
        <w:spacing w:after="0"/>
      </w:pPr>
    </w:p>
    <w:p>
      <w:pPr>
        <w:pStyle w:val="Heading2"/>
        <w:keepNext/>
      </w:pPr>
      <w:r>
        <w:rPr>
          <w:rFonts w:ascii="Times New Roman" w:hAnsi="Times New Roman" w:eastAsia="Times New Roman"/>
        </w:rPr>
        <w:t>Failure Policies</w:t>
      </w:r>
    </w:p>
    <w:p>
      <w:pPr>
        <w:spacing w:after="120" w:line="240" w:lineRule="auto"/>
      </w:pPr>
      <w:r>
        <w:rPr>
          <w:rFonts w:ascii="Times New Roman" w:hAnsi="Times New Roman" w:eastAsia="Times New Roman"/>
        </w:rPr>
        <w:t>Under continue_optional, valid source records are preserved when an optional component is missing or invalid. The run is stored as partially completed and the missing component is marked skipped or failed. Under strict, an invalid requested component terminates the decision-support composition.</w:t>
      </w:r>
    </w:p>
    <w:p>
      <w:pPr>
        <w:spacing w:before="80" w:after="120"/>
        <w:jc w:val="center"/>
      </w:pPr>
      <w:r>
        <w:rPr>
          <w:rFonts w:ascii="Times New Roman" w:hAnsi="Times New Roman" w:eastAsia="Times New Roman"/>
          <w:i/>
          <w:sz w:val="20"/>
        </w:rPr>
        <w:t>\[C_{data} = \frac{N_{succeeded,requested}}{N_{requested}}\]</w:t>
      </w:r>
    </w:p>
    <w:p>
      <w:pPr>
        <w:pStyle w:val="Heading2"/>
        <w:keepNext/>
      </w:pPr>
      <w:r>
        <w:rPr>
          <w:rFonts w:ascii="Times New Roman" w:hAnsi="Times New Roman" w:eastAsia="Times New Roman"/>
        </w:rPr>
        <w:t>Recommendation Model</w:t>
      </w:r>
    </w:p>
    <w:p>
      <w:pPr>
        <w:spacing w:after="120" w:line="240" w:lineRule="auto"/>
      </w:pPr>
      <w:r>
        <w:rPr>
          <w:rFonts w:ascii="Times New Roman" w:hAnsi="Times New Roman" w:eastAsia="Times New Roman"/>
        </w:rPr>
        <w:t>The integration engine produces recommendations from exact stored fields. A recommendation includes category, priority, action, rationale, confidence, source components, source record identifiers, evidence field and value, confirmation requirement, and limitations.</w:t>
      </w:r>
    </w:p>
    <w:p>
      <w:pPr>
        <w:spacing w:after="120" w:line="240" w:lineRule="auto"/>
      </w:pPr>
      <w:r>
        <w:rPr>
          <w:rFonts w:ascii="Times New Roman" w:hAnsi="Times New Roman" w:eastAsia="Times New Roman"/>
        </w:rPr>
        <w:t>Examples include prioritizing field verification when the posterior decline probability is high, inspecting the highest-risk pest profile, evaluating the best hard-constraint-passing intercrop, and implementing the feasible selected rehabilitation scenario.</w:t>
      </w:r>
    </w:p>
    <w:p>
      <w:pPr>
        <w:pStyle w:val="Heading2"/>
        <w:keepNext/>
      </w:pPr>
      <w:r>
        <w:rPr>
          <w:rFonts w:ascii="Times New Roman" w:hAnsi="Times New Roman" w:eastAsia="Times New Roman"/>
        </w:rPr>
        <w:t>Traceability Rule</w:t>
      </w:r>
    </w:p>
    <w:p>
      <w:pPr>
        <w:spacing w:before="80" w:after="120"/>
        <w:jc w:val="center"/>
      </w:pPr>
      <w:r>
        <w:rPr>
          <w:rFonts w:ascii="Times New Roman" w:hAnsi="Times New Roman" w:eastAsia="Times New Roman"/>
          <w:i/>
          <w:sz w:val="20"/>
        </w:rPr>
        <w:t>\[R_k = g(E_k, V_k, P_k, L_k)\]</w:t>
      </w:r>
    </w:p>
    <w:p>
      <w:pPr>
        <w:spacing w:after="120" w:line="240" w:lineRule="auto"/>
      </w:pPr>
      <w:r>
        <w:rPr>
          <w:rFonts w:ascii="Times New Roman" w:hAnsi="Times New Roman" w:eastAsia="Times New Roman"/>
        </w:rPr>
        <w:t>In this notation, each recommendation R_k is a deterministic function of evidence E_k, version identifiers V_k, priority thresholds P_k, and limitations L_k. The integration engine does not create new agronomic evidence and does not overwrite the source engine records.</w:t>
      </w:r>
    </w:p>
    <w:p>
      <w:r>
        <w:rPr>
          <w:rFonts w:ascii="Times New Roman" w:hAnsi="Times New Roman" w:eastAsia="Times New Roman"/>
        </w:rPr>
        <w:br w:type="page"/>
      </w:r>
    </w:p>
    <w:p>
      <w:pPr>
        <w:pStyle w:val="Heading1"/>
        <w:keepNext/>
      </w:pPr>
      <w:r>
        <w:rPr>
          <w:rFonts w:ascii="Times New Roman" w:hAnsi="Times New Roman" w:eastAsia="Times New Roman"/>
        </w:rPr>
        <w:t>16. Database Migration Strategy</w:t>
      </w:r>
    </w:p>
    <w:p>
      <w:pPr>
        <w:spacing w:after="120" w:line="240" w:lineRule="auto"/>
      </w:pPr>
      <w:r>
        <w:rPr>
          <w:rFonts w:ascii="Times New Roman" w:hAnsi="Times New Roman" w:eastAsia="Times New Roman"/>
        </w:rPr>
        <w:t>The database evolved through additive, checksummed migrations. Each migration can be applied repeatedly without duplication and can be rolled back in a disposable test database when destructive rollback is explicitly enabled.</w:t>
      </w:r>
    </w:p>
    <w:tbl>
      <w:tblPr>
        <w:tblW w:type="auto" w:w="0"/>
        <w:jc w:val="center"/>
        <w:tblLayout w:type="autofit"/>
        <w:tblLook w:firstColumn="1" w:firstRow="1" w:lastColumn="0" w:lastRow="0" w:noHBand="0" w:noVBand="1" w:val="04A0"/>
      </w:tblPr>
      <w:tblGrid>
        <w:gridCol w:w="4824"/>
        <w:gridCol w:w="4824"/>
      </w:tblGrid>
      <w:tr>
        <w:trPr>
          <w:tblHeader w:val="true"/>
        </w:trPr>
        <w:tc>
          <w:tcPr>
            <w:tcW w:type="dxa" w:w="4824"/>
            <w:vAlign w:val="center"/>
            <w:tcBorders>
              <w:top w:val="single" w:sz="4" w:color="000000"/>
              <w:left w:val="single" w:sz="4" w:color="000000"/>
              <w:bottom w:val="single" w:sz="4" w:color="000000"/>
              <w:right w:val="single" w:sz="4" w:color="000000"/>
            </w:tcBorders>
          </w:tcPr>
          <w:p>
            <w:pPr>
              <w:jc w:val="center"/>
            </w:pPr>
            <w:r>
              <w:rPr>
                <w:rFonts w:ascii="Times New Roman" w:hAnsi="Times New Roman" w:eastAsia="Times New Roman"/>
                <w:b/>
                <w:sz w:val="19"/>
              </w:rPr>
              <w:t>Migration</w:t>
            </w:r>
          </w:p>
        </w:tc>
        <w:tc>
          <w:tcPr>
            <w:tcW w:type="dxa" w:w="4824"/>
            <w:vAlign w:val="center"/>
            <w:tcBorders>
              <w:top w:val="single" w:sz="4" w:color="000000"/>
              <w:left w:val="single" w:sz="4" w:color="000000"/>
              <w:bottom w:val="single" w:sz="4" w:color="000000"/>
              <w:right w:val="single" w:sz="4" w:color="000000"/>
            </w:tcBorders>
          </w:tcPr>
          <w:p>
            <w:pPr>
              <w:jc w:val="center"/>
            </w:pPr>
            <w:r>
              <w:rPr>
                <w:rFonts w:ascii="Times New Roman" w:hAnsi="Times New Roman" w:eastAsia="Times New Roman"/>
                <w:b/>
                <w:sz w:val="19"/>
              </w:rPr>
              <w:t>Purpose</w:t>
            </w:r>
          </w:p>
        </w:tc>
      </w:tr>
      <w:tr>
        <w:tc>
          <w:tcPr>
            <w:tcW w:type="dxa" w:w="4824"/>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1</w:t>
            </w:r>
          </w:p>
        </w:tc>
        <w:tc>
          <w:tcPr>
            <w:tcW w:type="dxa" w:w="4824"/>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Preserve legacy farms, analyses, reports, and saved forecasts.</w:t>
            </w:r>
          </w:p>
        </w:tc>
      </w:tr>
      <w:tr>
        <w:tc>
          <w:tcPr>
            <w:tcW w:type="dxa" w:w="4824"/>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2</w:t>
            </w:r>
          </w:p>
        </w:tc>
        <w:tc>
          <w:tcPr>
            <w:tcW w:type="dxa" w:w="4824"/>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Normalize PCA references and restricted farmer registry data.</w:t>
            </w:r>
          </w:p>
        </w:tc>
      </w:tr>
      <w:tr>
        <w:tc>
          <w:tcPr>
            <w:tcW w:type="dxa" w:w="4824"/>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3</w:t>
            </w:r>
          </w:p>
        </w:tc>
        <w:tc>
          <w:tcPr>
            <w:tcW w:type="dxa" w:w="4824"/>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Store weather runs, values, feature sets, and features.</w:t>
            </w:r>
          </w:p>
        </w:tc>
      </w:tr>
      <w:tr>
        <w:tc>
          <w:tcPr>
            <w:tcW w:type="dxa" w:w="4824"/>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4</w:t>
            </w:r>
          </w:p>
        </w:tc>
        <w:tc>
          <w:tcPr>
            <w:tcW w:type="dxa" w:w="4824"/>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Store production feature snapshots, forecasts, products, actuals, and economic profiles.</w:t>
            </w:r>
          </w:p>
        </w:tc>
      </w:tr>
      <w:tr>
        <w:tc>
          <w:tcPr>
            <w:tcW w:type="dxa" w:w="4824"/>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5</w:t>
            </w:r>
          </w:p>
        </w:tc>
        <w:tc>
          <w:tcPr>
            <w:tcW w:type="dxa" w:w="4824"/>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Store Bayesian evidence, runs, posteriors, parameters, and assimilation audits.</w:t>
            </w:r>
          </w:p>
        </w:tc>
      </w:tr>
      <w:tr>
        <w:tc>
          <w:tcPr>
            <w:tcW w:type="dxa" w:w="4824"/>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6</w:t>
            </w:r>
          </w:p>
        </w:tc>
        <w:tc>
          <w:tcPr>
            <w:tcW w:type="dxa" w:w="4824"/>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Store pest observations, runs, assessments, contributions, and actions.</w:t>
            </w:r>
          </w:p>
        </w:tc>
      </w:tr>
      <w:tr>
        <w:tc>
          <w:tcPr>
            <w:tcW w:type="dxa" w:w="4824"/>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7</w:t>
            </w:r>
          </w:p>
        </w:tc>
        <w:tc>
          <w:tcPr>
            <w:tcW w:type="dxa" w:w="4824"/>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Store intercrop requirements, runs, assessments, and component scores.</w:t>
            </w:r>
          </w:p>
        </w:tc>
      </w:tr>
      <w:tr>
        <w:tc>
          <w:tcPr>
            <w:tcW w:type="dxa" w:w="4824"/>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8</w:t>
            </w:r>
          </w:p>
        </w:tc>
        <w:tc>
          <w:tcPr>
            <w:tcW w:type="dxa" w:w="4824"/>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Store rehabilitation plans, actions, and scenario results.</w:t>
            </w:r>
          </w:p>
        </w:tc>
      </w:tr>
      <w:tr>
        <w:tc>
          <w:tcPr>
            <w:tcW w:type="dxa" w:w="4824"/>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9</w:t>
            </w:r>
          </w:p>
        </w:tc>
        <w:tc>
          <w:tcPr>
            <w:tcW w:type="dxa" w:w="4824"/>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Store integrated runs, component statuses, recommendations, and traceability edges.</w:t>
            </w:r>
          </w:p>
        </w:tc>
      </w:tr>
    </w:tbl>
    <w:p>
      <w:pPr>
        <w:spacing w:after="0"/>
      </w:pPr>
    </w:p>
    <w:p>
      <w:pPr>
        <w:spacing w:after="120" w:line="240" w:lineRule="auto"/>
      </w:pPr>
      <w:r>
        <w:rPr>
          <w:rFonts w:ascii="Times New Roman" w:hAnsi="Times New Roman" w:eastAsia="Times New Roman"/>
        </w:rPr>
        <w:t>Foreign-key integrity and SQLite integrity checks are executed during phase verification. Source records use restrictive deletion rules so deleting an integrated record cannot delete the analytical evidence it references.</w:t>
      </w:r>
    </w:p>
    <w:p>
      <w:r>
        <w:rPr>
          <w:rFonts w:ascii="Times New Roman" w:hAnsi="Times New Roman" w:eastAsia="Times New Roman"/>
        </w:rPr>
        <w:br w:type="page"/>
      </w:r>
    </w:p>
    <w:p>
      <w:pPr>
        <w:pStyle w:val="Heading1"/>
        <w:keepNext/>
      </w:pPr>
      <w:r>
        <w:rPr>
          <w:rFonts w:ascii="Times New Roman" w:hAnsi="Times New Roman" w:eastAsia="Times New Roman"/>
        </w:rPr>
        <w:t>17. API and Contract Strategy</w:t>
      </w:r>
    </w:p>
    <w:p>
      <w:pPr>
        <w:spacing w:after="120" w:line="240" w:lineRule="auto"/>
      </w:pPr>
      <w:r>
        <w:rPr>
          <w:rFonts w:ascii="Times New Roman" w:hAnsi="Times New Roman" w:eastAsia="Times New Roman"/>
        </w:rPr>
        <w:t>The v3 contract API is additive and remains available under /api/v2 while legacy endpoints continue to operate. Every phase adds status, execution, listing, and retrieval endpoints. Contracts are published with JSON Schema and SHA-256 schema hashes.</w:t>
      </w:r>
    </w:p>
    <w:p>
      <w:pPr>
        <w:pStyle w:val="Heading2"/>
        <w:keepNext/>
      </w:pPr>
      <w:r>
        <w:rPr>
          <w:rFonts w:ascii="Times New Roman" w:hAnsi="Times New Roman" w:eastAsia="Times New Roman"/>
        </w:rPr>
        <w:t>Structured Error Handling</w:t>
      </w:r>
    </w:p>
    <w:p>
      <w:pPr>
        <w:spacing w:after="120" w:line="240" w:lineRule="auto"/>
      </w:pPr>
      <w:r>
        <w:rPr>
          <w:rFonts w:ascii="Times New Roman" w:hAnsi="Times New Roman" w:eastAsia="Times New Roman"/>
        </w:rPr>
        <w:t>Errors include a stable code, HTTP status, request path, request identifier, and structured details. The Phase 8.1 hotfix improved malformed JSON errors by reporting parser line, column, and character position without echoing sensitive request bodies.</w:t>
      </w:r>
    </w:p>
    <w:p>
      <w:pPr>
        <w:pStyle w:val="Heading2"/>
        <w:keepNext/>
      </w:pPr>
      <w:r>
        <w:rPr>
          <w:rFonts w:ascii="Times New Roman" w:hAnsi="Times New Roman" w:eastAsia="Times New Roman"/>
        </w:rPr>
        <w:t>Versioned Output Rule</w:t>
      </w:r>
    </w:p>
    <w:p>
      <w:pPr>
        <w:spacing w:after="120" w:line="240" w:lineRule="auto"/>
      </w:pPr>
      <w:r>
        <w:rPr>
          <w:rFonts w:ascii="Times New Roman" w:hAnsi="Times New Roman" w:eastAsia="Times New Roman"/>
        </w:rPr>
        <w:t>Every output stores the model version, parameter version, feature adapter version, farm-data version, weather-run identifier, source identifiers, and limitations required to reproduce or interpret the result later.</w:t>
      </w:r>
    </w:p>
    <w:p>
      <w:r>
        <w:rPr>
          <w:rFonts w:ascii="Times New Roman" w:hAnsi="Times New Roman" w:eastAsia="Times New Roman"/>
        </w:rPr>
        <w:br w:type="page"/>
      </w:r>
    </w:p>
    <w:p>
      <w:pPr>
        <w:pStyle w:val="Heading1"/>
        <w:keepNext/>
      </w:pPr>
      <w:r>
        <w:rPr>
          <w:rFonts w:ascii="Times New Roman" w:hAnsi="Times New Roman" w:eastAsia="Times New Roman"/>
        </w:rPr>
        <w:t>18. Testing and Verification</w:t>
      </w:r>
    </w:p>
    <w:p>
      <w:pPr>
        <w:spacing w:after="120" w:line="240" w:lineRule="auto"/>
      </w:pPr>
      <w:r>
        <w:rPr>
          <w:rFonts w:ascii="Times New Roman" w:hAnsi="Times New Roman" w:eastAsia="Times New Roman"/>
        </w:rPr>
        <w:t>Testing was treated as an engineering gate rather than a final afterthought. Pytest warnings are configured as errors. Tests cover contracts, mathematical identities, migrations, repositories, API routes, provider resilience, privacy, legacy regressions, JavaScript contracts, setup scripts, and manual workflow payloads.</w:t>
      </w:r>
    </w:p>
    <w:tbl>
      <w:tblPr>
        <w:tblW w:type="auto" w:w="0"/>
        <w:jc w:val="center"/>
        <w:tblLayout w:type="autofit"/>
        <w:tblLook w:firstColumn="1" w:firstRow="1" w:lastColumn="0" w:lastRow="0" w:noHBand="0" w:noVBand="1" w:val="04A0"/>
      </w:tblPr>
      <w:tblGrid>
        <w:gridCol w:w="4824"/>
        <w:gridCol w:w="4824"/>
      </w:tblGrid>
      <w:tr>
        <w:trPr>
          <w:tblHeader w:val="true"/>
        </w:trPr>
        <w:tc>
          <w:tcPr>
            <w:tcW w:type="dxa" w:w="4824"/>
            <w:vAlign w:val="center"/>
            <w:tcBorders>
              <w:top w:val="single" w:sz="4" w:color="000000"/>
              <w:left w:val="single" w:sz="4" w:color="000000"/>
              <w:bottom w:val="single" w:sz="4" w:color="000000"/>
              <w:right w:val="single" w:sz="4" w:color="000000"/>
            </w:tcBorders>
          </w:tcPr>
          <w:p>
            <w:pPr>
              <w:jc w:val="center"/>
            </w:pPr>
            <w:r>
              <w:rPr>
                <w:rFonts w:ascii="Times New Roman" w:hAnsi="Times New Roman" w:eastAsia="Times New Roman"/>
                <w:b/>
                <w:sz w:val="19"/>
              </w:rPr>
              <w:t>Checkpoint</w:t>
            </w:r>
          </w:p>
        </w:tc>
        <w:tc>
          <w:tcPr>
            <w:tcW w:type="dxa" w:w="4824"/>
            <w:vAlign w:val="center"/>
            <w:tcBorders>
              <w:top w:val="single" w:sz="4" w:color="000000"/>
              <w:left w:val="single" w:sz="4" w:color="000000"/>
              <w:bottom w:val="single" w:sz="4" w:color="000000"/>
              <w:right w:val="single" w:sz="4" w:color="000000"/>
            </w:tcBorders>
          </w:tcPr>
          <w:p>
            <w:pPr>
              <w:jc w:val="center"/>
            </w:pPr>
            <w:r>
              <w:rPr>
                <w:rFonts w:ascii="Times New Roman" w:hAnsi="Times New Roman" w:eastAsia="Times New Roman"/>
                <w:b/>
                <w:sz w:val="19"/>
              </w:rPr>
              <w:t>Recorded result</w:t>
            </w:r>
          </w:p>
        </w:tc>
      </w:tr>
      <w:tr>
        <w:tc>
          <w:tcPr>
            <w:tcW w:type="dxa" w:w="4824"/>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Phase 0</w:t>
            </w:r>
          </w:p>
        </w:tc>
        <w:tc>
          <w:tcPr>
            <w:tcW w:type="dxa" w:w="4824"/>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111 baseline tests</w:t>
            </w:r>
          </w:p>
        </w:tc>
      </w:tr>
      <w:tr>
        <w:tc>
          <w:tcPr>
            <w:tcW w:type="dxa" w:w="4824"/>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Phase 1</w:t>
            </w:r>
          </w:p>
        </w:tc>
        <w:tc>
          <w:tcPr>
            <w:tcW w:type="dxa" w:w="4824"/>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135 tests</w:t>
            </w:r>
          </w:p>
        </w:tc>
      </w:tr>
      <w:tr>
        <w:tc>
          <w:tcPr>
            <w:tcW w:type="dxa" w:w="4824"/>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Phase 2</w:t>
            </w:r>
          </w:p>
        </w:tc>
        <w:tc>
          <w:tcPr>
            <w:tcW w:type="dxa" w:w="4824"/>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146 tests</w:t>
            </w:r>
          </w:p>
        </w:tc>
      </w:tr>
      <w:tr>
        <w:tc>
          <w:tcPr>
            <w:tcW w:type="dxa" w:w="4824"/>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Phase 3</w:t>
            </w:r>
          </w:p>
        </w:tc>
        <w:tc>
          <w:tcPr>
            <w:tcW w:type="dxa" w:w="4824"/>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169 tests</w:t>
            </w:r>
          </w:p>
        </w:tc>
      </w:tr>
      <w:tr>
        <w:tc>
          <w:tcPr>
            <w:tcW w:type="dxa" w:w="4824"/>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Phase 4</w:t>
            </w:r>
          </w:p>
        </w:tc>
        <w:tc>
          <w:tcPr>
            <w:tcW w:type="dxa" w:w="4824"/>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185 tests</w:t>
            </w:r>
          </w:p>
        </w:tc>
      </w:tr>
      <w:tr>
        <w:tc>
          <w:tcPr>
            <w:tcW w:type="dxa" w:w="4824"/>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Phase 5</w:t>
            </w:r>
          </w:p>
        </w:tc>
        <w:tc>
          <w:tcPr>
            <w:tcW w:type="dxa" w:w="4824"/>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197 tests</w:t>
            </w:r>
          </w:p>
        </w:tc>
      </w:tr>
      <w:tr>
        <w:tc>
          <w:tcPr>
            <w:tcW w:type="dxa" w:w="4824"/>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Phase 6</w:t>
            </w:r>
          </w:p>
        </w:tc>
        <w:tc>
          <w:tcPr>
            <w:tcW w:type="dxa" w:w="4824"/>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210 tests</w:t>
            </w:r>
          </w:p>
        </w:tc>
      </w:tr>
      <w:tr>
        <w:tc>
          <w:tcPr>
            <w:tcW w:type="dxa" w:w="4824"/>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Phase 6.1</w:t>
            </w:r>
          </w:p>
        </w:tc>
        <w:tc>
          <w:tcPr>
            <w:tcW w:type="dxa" w:w="4824"/>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214 tests</w:t>
            </w:r>
          </w:p>
        </w:tc>
      </w:tr>
      <w:tr>
        <w:tc>
          <w:tcPr>
            <w:tcW w:type="dxa" w:w="4824"/>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Phase 6.2</w:t>
            </w:r>
          </w:p>
        </w:tc>
        <w:tc>
          <w:tcPr>
            <w:tcW w:type="dxa" w:w="4824"/>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219 tests</w:t>
            </w:r>
          </w:p>
        </w:tc>
      </w:tr>
      <w:tr>
        <w:tc>
          <w:tcPr>
            <w:tcW w:type="dxa" w:w="4824"/>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Phase 7</w:t>
            </w:r>
          </w:p>
        </w:tc>
        <w:tc>
          <w:tcPr>
            <w:tcW w:type="dxa" w:w="4824"/>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231 tests</w:t>
            </w:r>
          </w:p>
        </w:tc>
      </w:tr>
      <w:tr>
        <w:tc>
          <w:tcPr>
            <w:tcW w:type="dxa" w:w="4824"/>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Phase 8</w:t>
            </w:r>
          </w:p>
        </w:tc>
        <w:tc>
          <w:tcPr>
            <w:tcW w:type="dxa" w:w="4824"/>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239 tests</w:t>
            </w:r>
          </w:p>
        </w:tc>
      </w:tr>
      <w:tr>
        <w:tc>
          <w:tcPr>
            <w:tcW w:type="dxa" w:w="4824"/>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Phase 8.1</w:t>
            </w:r>
          </w:p>
        </w:tc>
        <w:tc>
          <w:tcPr>
            <w:tcW w:type="dxa" w:w="4824"/>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244 tests</w:t>
            </w:r>
          </w:p>
        </w:tc>
      </w:tr>
      <w:tr>
        <w:tc>
          <w:tcPr>
            <w:tcW w:type="dxa" w:w="4824"/>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Phase 9</w:t>
            </w:r>
          </w:p>
        </w:tc>
        <w:tc>
          <w:tcPr>
            <w:tcW w:type="dxa" w:w="4824"/>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252 tests across all 79 test files</w:t>
            </w:r>
          </w:p>
        </w:tc>
      </w:tr>
    </w:tbl>
    <w:p>
      <w:pPr>
        <w:spacing w:after="0"/>
      </w:pPr>
    </w:p>
    <w:p>
      <w:pPr>
        <w:pStyle w:val="Heading2"/>
        <w:keepNext/>
      </w:pPr>
      <w:r>
        <w:rPr>
          <w:rFonts w:ascii="Times New Roman" w:hAnsi="Times New Roman" w:eastAsia="Times New Roman"/>
        </w:rPr>
        <w:t>Phase 9 Verification Coverage</w:t>
      </w:r>
    </w:p>
    <w:p>
      <w:pPr>
        <w:pStyle w:val="ListBullet"/>
        <w:spacing w:after="40"/>
      </w:pPr>
      <w:r>
        <w:rPr>
          <w:rFonts w:ascii="Times New Roman" w:hAnsi="Times New Roman" w:eastAsia="Times New Roman"/>
        </w:rPr>
        <w:t>Strict contract validation and unique component rules.</w:t>
      </w:r>
    </w:p>
    <w:p>
      <w:pPr>
        <w:pStyle w:val="ListBullet"/>
        <w:spacing w:after="40"/>
      </w:pPr>
      <w:r>
        <w:rPr>
          <w:rFonts w:ascii="Times New Roman" w:hAnsi="Times New Roman" w:eastAsia="Times New Roman"/>
        </w:rPr>
        <w:t>Complete five-component decision-support composition.</w:t>
      </w:r>
    </w:p>
    <w:p>
      <w:pPr>
        <w:pStyle w:val="ListBullet"/>
        <w:spacing w:after="40"/>
      </w:pPr>
      <w:r>
        <w:rPr>
          <w:rFonts w:ascii="Times New Roman" w:hAnsi="Times New Roman" w:eastAsia="Times New Roman"/>
        </w:rPr>
        <w:t>Partial run disclosure when an optional component is missing.</w:t>
      </w:r>
    </w:p>
    <w:p>
      <w:pPr>
        <w:pStyle w:val="ListBullet"/>
        <w:spacing w:after="40"/>
      </w:pPr>
      <w:r>
        <w:rPr>
          <w:rFonts w:ascii="Times New Roman" w:hAnsi="Times New Roman" w:eastAsia="Times New Roman"/>
        </w:rPr>
        <w:t>Strict failure behavior for invalid linked records.</w:t>
      </w:r>
    </w:p>
    <w:p>
      <w:pPr>
        <w:pStyle w:val="ListBullet"/>
        <w:spacing w:after="40"/>
      </w:pPr>
      <w:r>
        <w:rPr>
          <w:rFonts w:ascii="Times New Roman" w:hAnsi="Times New Roman" w:eastAsia="Times New Roman"/>
        </w:rPr>
        <w:t>Evidence-linked recommendations and persistence.</w:t>
      </w:r>
    </w:p>
    <w:p>
      <w:pPr>
        <w:pStyle w:val="ListBullet"/>
        <w:spacing w:after="40"/>
      </w:pPr>
      <w:r>
        <w:rPr>
          <w:rFonts w:ascii="Times New Roman" w:hAnsi="Times New Roman" w:eastAsia="Times New Roman"/>
        </w:rPr>
        <w:t>API status, compose, listing, and retrieval.</w:t>
      </w:r>
    </w:p>
    <w:p>
      <w:pPr>
        <w:pStyle w:val="ListBullet"/>
        <w:spacing w:after="40"/>
      </w:pPr>
      <w:r>
        <w:rPr>
          <w:rFonts w:ascii="Times New Roman" w:hAnsi="Times New Roman" w:eastAsia="Times New Roman"/>
        </w:rPr>
        <w:t>Migration 9 installation, idempotency, integrity, rollback, and re-upgrade.</w:t>
      </w:r>
    </w:p>
    <w:p>
      <w:pPr>
        <w:pStyle w:val="ListBullet"/>
        <w:spacing w:after="40"/>
      </w:pPr>
      <w:r>
        <w:rPr>
          <w:rFonts w:ascii="Times New Roman" w:hAnsi="Times New Roman" w:eastAsia="Times New Roman"/>
        </w:rPr>
        <w:t>All prior phase verification scripts and legacy regressions.</w:t>
      </w:r>
    </w:p>
    <w:p>
      <w:pPr>
        <w:spacing w:after="120" w:line="240" w:lineRule="auto"/>
      </w:pPr>
      <w:r>
        <w:rPr>
          <w:rFonts w:ascii="Times New Roman" w:hAnsi="Times New Roman" w:eastAsia="Times New Roman"/>
        </w:rPr>
        <w:t>The packaging environment used scikit-learn 1.8.0 in disclosed compatibility mode. Windows setup installs the serialized model target runtime scikit-learn 1.9.0 for exact compatibility.</w:t>
      </w:r>
    </w:p>
    <w:p>
      <w:r>
        <w:rPr>
          <w:rFonts w:ascii="Times New Roman" w:hAnsi="Times New Roman" w:eastAsia="Times New Roman"/>
        </w:rPr>
        <w:br w:type="page"/>
      </w:r>
    </w:p>
    <w:p>
      <w:pPr>
        <w:pStyle w:val="Heading1"/>
        <w:keepNext/>
      </w:pPr>
      <w:r>
        <w:rPr>
          <w:rFonts w:ascii="Times New Roman" w:hAnsi="Times New Roman" w:eastAsia="Times New Roman"/>
        </w:rPr>
        <w:t>19. Privacy and Security Controls</w:t>
      </w:r>
    </w:p>
    <w:p>
      <w:pPr>
        <w:spacing w:after="120" w:line="240" w:lineRule="auto"/>
      </w:pPr>
      <w:r>
        <w:rPr>
          <w:rFonts w:ascii="Times New Roman" w:hAnsi="Times New Roman" w:eastAsia="Times New Roman"/>
        </w:rPr>
        <w:t>Raw farmer names, row-level registry data, local databases, backups, and intercropping source workbooks remain restricted. Farmer identity records are structurally separated from analytical records. Public APIs return aggregate or pseudonymous information.</w:t>
      </w:r>
    </w:p>
    <w:p>
      <w:pPr>
        <w:pStyle w:val="Heading2"/>
        <w:keepNext/>
      </w:pPr>
      <w:r>
        <w:rPr>
          <w:rFonts w:ascii="Times New Roman" w:hAnsi="Times New Roman" w:eastAsia="Times New Roman"/>
        </w:rPr>
        <w:t>Protected Locations</w:t>
      </w:r>
    </w:p>
    <w:p>
      <w:pPr>
        <w:pStyle w:val="ListBullet"/>
        <w:spacing w:after="40"/>
      </w:pPr>
      <w:r>
        <w:rPr>
          <w:rFonts w:ascii="Times New Roman" w:hAnsi="Times New Roman" w:eastAsia="Times New Roman"/>
        </w:rPr>
        <w:t>data_sources/raw/farmers/</w:t>
      </w:r>
    </w:p>
    <w:p>
      <w:pPr>
        <w:pStyle w:val="ListBullet"/>
        <w:spacing w:after="40"/>
      </w:pPr>
      <w:r>
        <w:rPr>
          <w:rFonts w:ascii="Times New Roman" w:hAnsi="Times New Roman" w:eastAsia="Times New Roman"/>
        </w:rPr>
        <w:t>data_sources/raw/intercropping/</w:t>
      </w:r>
    </w:p>
    <w:p>
      <w:pPr>
        <w:pStyle w:val="ListBullet"/>
        <w:spacing w:after="40"/>
      </w:pPr>
      <w:r>
        <w:rPr>
          <w:rFonts w:ascii="Times New Roman" w:hAnsi="Times New Roman" w:eastAsia="Times New Roman"/>
        </w:rPr>
        <w:t>data/coco_aid.sqlite3</w:t>
      </w:r>
    </w:p>
    <w:p>
      <w:pPr>
        <w:pStyle w:val="ListBullet"/>
        <w:spacing w:after="40"/>
      </w:pPr>
      <w:r>
        <w:rPr>
          <w:rFonts w:ascii="Times New Roman" w:hAnsi="Times New Roman" w:eastAsia="Times New Roman"/>
        </w:rPr>
        <w:t>backups/</w:t>
      </w:r>
    </w:p>
    <w:p>
      <w:pPr>
        <w:pStyle w:val="ListBullet"/>
        <w:spacing w:after="40"/>
      </w:pPr>
      <w:r>
        <w:rPr>
          <w:rFonts w:ascii="Times New Roman" w:hAnsi="Times New Roman" w:eastAsia="Times New Roman"/>
        </w:rPr>
        <w:t>manual_test_outputs/</w:t>
      </w:r>
    </w:p>
    <w:p>
      <w:pPr>
        <w:pStyle w:val="ListBullet"/>
        <w:spacing w:after="40"/>
      </w:pPr>
      <w:r>
        <w:rPr>
          <w:rFonts w:ascii="Times New Roman" w:hAnsi="Times New Roman" w:eastAsia="Times New Roman"/>
        </w:rPr>
        <w:t>data/private_settings.json</w:t>
      </w:r>
    </w:p>
    <w:p>
      <w:pPr>
        <w:spacing w:after="120" w:line="240" w:lineRule="auto"/>
      </w:pPr>
      <w:r>
        <w:rPr>
          <w:rFonts w:ascii="Times New Roman" w:hAnsi="Times New Roman" w:eastAsia="Times New Roman"/>
        </w:rPr>
        <w:t>API keys are not committed to source control or included in reports. Provider and assistant failures return diagnostics without exposing secret values. Report-generation and AI layers should receive only approved structured results and redacted source text.</w:t>
      </w:r>
    </w:p>
    <w:p>
      <w:r>
        <w:rPr>
          <w:rFonts w:ascii="Times New Roman" w:hAnsi="Times New Roman" w:eastAsia="Times New Roman"/>
        </w:rPr>
        <w:br w:type="page"/>
      </w:r>
    </w:p>
    <w:p>
      <w:pPr>
        <w:pStyle w:val="Heading1"/>
        <w:keepNext/>
      </w:pPr>
      <w:r>
        <w:rPr>
          <w:rFonts w:ascii="Times New Roman" w:hAnsi="Times New Roman" w:eastAsia="Times New Roman"/>
        </w:rPr>
        <w:t>20. Scientific Limitations and Validation Plan</w:t>
      </w:r>
    </w:p>
    <w:p>
      <w:pPr>
        <w:spacing w:after="120" w:line="240" w:lineRule="auto"/>
      </w:pPr>
      <w:r>
        <w:rPr>
          <w:rFonts w:ascii="Times New Roman" w:hAnsi="Times New Roman" w:eastAsia="Times New Roman"/>
        </w:rPr>
        <w:t>Software correctness does not establish agricultural validity. The present system verifies contracts, calculations, persistence, reproducibility, and safety semantics. It does not yet prove that every model probability, yield estimate, or intervention effect is calibrated for independent farms.</w:t>
      </w:r>
    </w:p>
    <w:p>
      <w:pPr>
        <w:pStyle w:val="Heading2"/>
        <w:keepNext/>
      </w:pPr>
      <w:r>
        <w:rPr>
          <w:rFonts w:ascii="Times New Roman" w:hAnsi="Times New Roman" w:eastAsia="Times New Roman"/>
        </w:rPr>
        <w:t>Required Validation Work</w:t>
      </w:r>
    </w:p>
    <w:p>
      <w:pPr>
        <w:spacing w:after="40"/>
        <w:ind w:left="403" w:hanging="288"/>
      </w:pPr>
      <w:r>
        <w:rPr>
          <w:rFonts w:ascii="Times New Roman" w:hAnsi="Times New Roman" w:eastAsia="Times New Roman"/>
        </w:rPr>
        <w:t>1. Collect longitudinal farm production, variety, palm-age, management, and weather records.</w:t>
      </w:r>
    </w:p>
    <w:p>
      <w:pPr>
        <w:spacing w:after="40"/>
        <w:ind w:left="403" w:hanging="288"/>
      </w:pPr>
      <w:r>
        <w:rPr>
          <w:rFonts w:ascii="Times New Roman" w:hAnsi="Times New Roman" w:eastAsia="Times New Roman"/>
        </w:rPr>
        <w:t>2. Compare predicted and actual production by municipality, variety, and forecast horizon.</w:t>
      </w:r>
    </w:p>
    <w:p>
      <w:pPr>
        <w:spacing w:after="40"/>
        <w:ind w:left="403" w:hanging="288"/>
      </w:pPr>
      <w:r>
        <w:rPr>
          <w:rFonts w:ascii="Times New Roman" w:hAnsi="Times New Roman" w:eastAsia="Times New Roman"/>
        </w:rPr>
        <w:t>3. Calibrate Bayesian priors and transition probabilities with field observations.</w:t>
      </w:r>
    </w:p>
    <w:p>
      <w:pPr>
        <w:spacing w:after="40"/>
        <w:ind w:left="403" w:hanging="288"/>
      </w:pPr>
      <w:r>
        <w:rPr>
          <w:rFonts w:ascii="Times New Roman" w:hAnsi="Times New Roman" w:eastAsia="Times New Roman"/>
        </w:rPr>
        <w:t>4. Evaluate pest probability calibration against confirmed field incidence.</w:t>
      </w:r>
    </w:p>
    <w:p>
      <w:pPr>
        <w:spacing w:after="40"/>
        <w:ind w:left="403" w:hanging="288"/>
      </w:pPr>
      <w:r>
        <w:rPr>
          <w:rFonts w:ascii="Times New Roman" w:hAnsi="Times New Roman" w:eastAsia="Times New Roman"/>
        </w:rPr>
        <w:t>5. Validate canopy-light transmission and crop performance under measured farm layouts.</w:t>
      </w:r>
    </w:p>
    <w:p>
      <w:pPr>
        <w:spacing w:after="40"/>
        <w:ind w:left="403" w:hanging="288"/>
      </w:pPr>
      <w:r>
        <w:rPr>
          <w:rFonts w:ascii="Times New Roman" w:hAnsi="Times New Roman" w:eastAsia="Times New Roman"/>
        </w:rPr>
        <w:t>6. Replace development cost and recovery assumptions with locally verified values.</w:t>
      </w:r>
    </w:p>
    <w:p>
      <w:pPr>
        <w:spacing w:after="40"/>
        <w:ind w:left="403" w:hanging="288"/>
      </w:pPr>
      <w:r>
        <w:rPr>
          <w:rFonts w:ascii="Times New Roman" w:hAnsi="Times New Roman" w:eastAsia="Times New Roman"/>
        </w:rPr>
        <w:t>7. Test whether recommended interventions outperform no action in controlled or observational studies.</w:t>
      </w:r>
    </w:p>
    <w:p>
      <w:pPr>
        <w:spacing w:after="40"/>
        <w:ind w:left="403" w:hanging="288"/>
      </w:pPr>
      <w:r>
        <w:rPr>
          <w:rFonts w:ascii="Times New Roman" w:hAnsi="Times New Roman" w:eastAsia="Times New Roman"/>
        </w:rPr>
        <w:t>8. Conduct expert review with PCA agriculturists, coconut pathologists, and extension specialists.</w:t>
      </w:r>
    </w:p>
    <w:p>
      <w:pPr>
        <w:pStyle w:val="Heading2"/>
        <w:keepNext/>
      </w:pPr>
      <w:r>
        <w:rPr>
          <w:rFonts w:ascii="Times New Roman" w:hAnsi="Times New Roman" w:eastAsia="Times New Roman"/>
        </w:rPr>
        <w:t>Claim Discipline</w:t>
      </w:r>
    </w:p>
    <w:p>
      <w:pPr>
        <w:spacing w:after="120" w:line="240" w:lineRule="auto"/>
      </w:pPr>
      <w:r>
        <w:rPr>
          <w:rFonts w:ascii="Times New Roman" w:hAnsi="Times New Roman" w:eastAsia="Times New Roman"/>
        </w:rPr>
        <w:t>Outputs must remain labeled as observed, forecast, simulated, inferred, or confirmed. PCA reference guidance must not be described as model training data. Gross-income scenarios must not be described as guaranteed profit. A high probability must not be described as a confirmed diagnosis.</w:t>
      </w:r>
    </w:p>
    <w:p>
      <w:r>
        <w:rPr>
          <w:rFonts w:ascii="Times New Roman" w:hAnsi="Times New Roman" w:eastAsia="Times New Roman"/>
        </w:rPr>
        <w:br w:type="page"/>
      </w:r>
    </w:p>
    <w:p>
      <w:pPr>
        <w:pStyle w:val="Heading1"/>
        <w:keepNext/>
      </w:pPr>
      <w:r>
        <w:rPr>
          <w:rFonts w:ascii="Times New Roman" w:hAnsi="Times New Roman" w:eastAsia="Times New Roman"/>
        </w:rPr>
        <w:t>21. Current Deployment and User Workflow</w:t>
      </w:r>
    </w:p>
    <w:p>
      <w:pPr>
        <w:spacing w:after="120" w:line="240" w:lineRule="auto"/>
      </w:pPr>
      <w:r>
        <w:rPr>
          <w:rFonts w:ascii="Times New Roman" w:hAnsi="Times New Roman" w:eastAsia="Times New Roman"/>
        </w:rPr>
        <w:t>The Windows release uses a flat ZIP and a short external virtual environment under LocalAppData. This prevents deep package paths from exceeding Windows path limits. Setup installs binary lxml first, verifies HTTPX2 and the system certificate-store runtime, applies migrations, prepares data, loads models, and runs phase verification scripts.</w:t>
      </w:r>
    </w:p>
    <w:p>
      <w:pPr>
        <w:pStyle w:val="Heading2"/>
        <w:keepNext/>
      </w:pPr>
      <w:r>
        <w:rPr>
          <w:rFonts w:ascii="Times New Roman" w:hAnsi="Times New Roman" w:eastAsia="Times New Roman"/>
        </w:rPr>
        <w:t>Phase 9 Manual Verification Workflow</w:t>
      </w:r>
    </w:p>
    <w:p>
      <w:pPr>
        <w:spacing w:after="40"/>
        <w:ind w:left="403" w:hanging="288"/>
      </w:pPr>
      <w:r>
        <w:rPr>
          <w:rFonts w:ascii="Times New Roman" w:hAnsi="Times New Roman" w:eastAsia="Times New Roman"/>
        </w:rPr>
        <w:t>1. Extract the Phase 9 release directly into C:\COCOAID\P9.</w:t>
      </w:r>
    </w:p>
    <w:p>
      <w:pPr>
        <w:spacing w:after="40"/>
        <w:ind w:left="403" w:hanging="288"/>
      </w:pPr>
      <w:r>
        <w:rPr>
          <w:rFonts w:ascii="Times New Roman" w:hAnsi="Times New Roman" w:eastAsia="Times New Roman"/>
        </w:rPr>
        <w:t>2. Run setup.bat and test.bat.</w:t>
      </w:r>
    </w:p>
    <w:p>
      <w:pPr>
        <w:spacing w:after="40"/>
        <w:ind w:left="403" w:hanging="288"/>
      </w:pPr>
      <w:r>
        <w:rPr>
          <w:rFonts w:ascii="Times New Roman" w:hAnsi="Times New Roman" w:eastAsia="Times New Roman"/>
        </w:rPr>
        <w:t>3. Run check_weather_provider.bat.</w:t>
      </w:r>
    </w:p>
    <w:p>
      <w:pPr>
        <w:spacing w:after="40"/>
        <w:ind w:left="403" w:hanging="288"/>
      </w:pPr>
      <w:r>
        <w:rPr>
          <w:rFonts w:ascii="Times New Roman" w:hAnsi="Times New Roman" w:eastAsia="Times New Roman"/>
        </w:rPr>
        <w:t>4. Start run.bat and keep the server terminal open.</w:t>
      </w:r>
    </w:p>
    <w:p>
      <w:pPr>
        <w:spacing w:after="40"/>
        <w:ind w:left="403" w:hanging="288"/>
      </w:pPr>
      <w:r>
        <w:rPr>
          <w:rFonts w:ascii="Times New Roman" w:hAnsi="Times New Roman" w:eastAsia="Times New Roman"/>
        </w:rPr>
        <w:t>5. Create one weather feature set and production forecast through the API documentation.</w:t>
      </w:r>
    </w:p>
    <w:p>
      <w:pPr>
        <w:spacing w:after="40"/>
        <w:ind w:left="403" w:hanging="288"/>
      </w:pPr>
      <w:r>
        <w:rPr>
          <w:rFonts w:ascii="Times New Roman" w:hAnsi="Times New Roman" w:eastAsia="Times New Roman"/>
        </w:rPr>
        <w:t>6. Create one field-confirmed scale-insect observation.</w:t>
      </w:r>
    </w:p>
    <w:p>
      <w:pPr>
        <w:spacing w:after="40"/>
        <w:ind w:left="403" w:hanging="288"/>
      </w:pPr>
      <w:r>
        <w:rPr>
          <w:rFonts w:ascii="Times New Roman" w:hAnsi="Times New Roman" w:eastAsia="Times New Roman"/>
        </w:rPr>
        <w:t>7. Run run_phase9_workflow.bat and paste the production forecast UUID and observation UUID.</w:t>
      </w:r>
    </w:p>
    <w:p>
      <w:pPr>
        <w:spacing w:after="40"/>
        <w:ind w:left="403" w:hanging="288"/>
      </w:pPr>
      <w:r>
        <w:rPr>
          <w:rFonts w:ascii="Times New Roman" w:hAnsi="Times New Roman" w:eastAsia="Times New Roman"/>
        </w:rPr>
        <w:t>8. Confirm that pest, intercropping, rehabilitation, and decision-support records are generated and retrieved.</w:t>
      </w:r>
    </w:p>
    <w:p>
      <w:r>
        <w:rPr>
          <w:rFonts w:ascii="Times New Roman" w:hAnsi="Times New Roman" w:eastAsia="Times New Roman"/>
        </w:rPr>
        <w:br w:type="page"/>
      </w:r>
    </w:p>
    <w:p>
      <w:pPr>
        <w:pStyle w:val="Heading1"/>
        <w:keepNext/>
      </w:pPr>
      <w:r>
        <w:rPr>
          <w:rFonts w:ascii="Times New Roman" w:hAnsi="Times New Roman" w:eastAsia="Times New Roman"/>
        </w:rPr>
        <w:t>22. Next Engineering Phase</w:t>
      </w:r>
    </w:p>
    <w:p>
      <w:pPr>
        <w:spacing w:after="120" w:line="240" w:lineRule="auto"/>
      </w:pPr>
      <w:r>
        <w:rPr>
          <w:rFonts w:ascii="Times New Roman" w:hAnsi="Times New Roman" w:eastAsia="Times New Roman"/>
        </w:rPr>
        <w:t>Phase 10 will connect CoCO-PILOT and formal report generation to the structured Phase 9 decision-support record. The assistant should retrieve computed values, explain uncertainty, compare scenarios, prepare work plans, and generate narrative sections. It must not override the analytical engines or invent weather, diagnosis, pesticide dosage, or unsupported economic claims.</w:t>
      </w:r>
    </w:p>
    <w:p>
      <w:pPr>
        <w:pStyle w:val="Heading2"/>
        <w:keepNext/>
      </w:pPr>
      <w:r>
        <w:rPr>
          <w:rFonts w:ascii="Times New Roman" w:hAnsi="Times New Roman" w:eastAsia="Times New Roman"/>
        </w:rPr>
        <w:t>Planned Phase 10 Deliverables</w:t>
      </w:r>
    </w:p>
    <w:p>
      <w:pPr>
        <w:pStyle w:val="ListBullet"/>
        <w:spacing w:after="40"/>
      </w:pPr>
      <w:r>
        <w:rPr>
          <w:rFonts w:ascii="Times New Roman" w:hAnsi="Times New Roman" w:eastAsia="Times New Roman"/>
        </w:rPr>
        <w:t>Structured retrieval from saved decision-support records.</w:t>
      </w:r>
    </w:p>
    <w:p>
      <w:pPr>
        <w:pStyle w:val="ListBullet"/>
        <w:spacing w:after="40"/>
      </w:pPr>
      <w:r>
        <w:rPr>
          <w:rFonts w:ascii="Times New Roman" w:hAnsi="Times New Roman" w:eastAsia="Times New Roman"/>
        </w:rPr>
        <w:t>PCA document retrieval with source citations.</w:t>
      </w:r>
    </w:p>
    <w:p>
      <w:pPr>
        <w:pStyle w:val="ListBullet"/>
        <w:spacing w:after="40"/>
      </w:pPr>
      <w:r>
        <w:rPr>
          <w:rFonts w:ascii="Times New Roman" w:hAnsi="Times New Roman" w:eastAsia="Times New Roman"/>
        </w:rPr>
        <w:t>Prompt and output guardrails for model result, PCA guidance, observation, and inference labels.</w:t>
      </w:r>
    </w:p>
    <w:p>
      <w:pPr>
        <w:pStyle w:val="ListBullet"/>
        <w:spacing w:after="40"/>
      </w:pPr>
      <w:r>
        <w:rPr>
          <w:rFonts w:ascii="Times New Roman" w:hAnsi="Times New Roman" w:eastAsia="Times New Roman"/>
        </w:rPr>
        <w:t>Formal PDF and DOCX templates generated from stored numbers rather than LLM-created tables.</w:t>
      </w:r>
    </w:p>
    <w:p>
      <w:pPr>
        <w:pStyle w:val="ListBullet"/>
        <w:spacing w:after="40"/>
      </w:pPr>
      <w:r>
        <w:rPr>
          <w:rFonts w:ascii="Times New Roman" w:hAnsi="Times New Roman" w:eastAsia="Times New Roman"/>
        </w:rPr>
        <w:t>Redaction of farmer identity and private source paths.</w:t>
      </w:r>
    </w:p>
    <w:p>
      <w:pPr>
        <w:pStyle w:val="ListBullet"/>
        <w:spacing w:after="40"/>
      </w:pPr>
      <w:r>
        <w:rPr>
          <w:rFonts w:ascii="Times New Roman" w:hAnsi="Times New Roman" w:eastAsia="Times New Roman"/>
        </w:rPr>
        <w:t>Narrative consistency tests comparing generated explanations with underlying values.</w:t>
      </w:r>
    </w:p>
    <w:p>
      <w:r>
        <w:rPr>
          <w:rFonts w:ascii="Times New Roman" w:hAnsi="Times New Roman" w:eastAsia="Times New Roman"/>
        </w:rPr>
        <w:br w:type="page"/>
      </w:r>
    </w:p>
    <w:p>
      <w:pPr>
        <w:pStyle w:val="Heading1"/>
        <w:keepNext/>
      </w:pPr>
      <w:r>
        <w:rPr>
          <w:rFonts w:ascii="Times New Roman" w:hAnsi="Times New Roman" w:eastAsia="Times New Roman"/>
        </w:rPr>
        <w:t>Appendix A. Formula Catalog</w:t>
      </w:r>
    </w:p>
    <w:p>
      <w:pPr>
        <w:pStyle w:val="Heading3"/>
        <w:keepNext/>
      </w:pPr>
      <w:r>
        <w:rPr>
          <w:rFonts w:ascii="Times New Roman" w:hAnsi="Times New Roman" w:eastAsia="Times New Roman"/>
        </w:rPr>
        <w:t>Weather accumulation</w:t>
      </w:r>
    </w:p>
    <w:p>
      <w:pPr>
        <w:spacing w:before="80" w:after="120"/>
        <w:jc w:val="center"/>
      </w:pPr>
      <w:r>
        <w:rPr>
          <w:rFonts w:ascii="Times New Roman" w:hAnsi="Times New Roman" w:eastAsia="Times New Roman"/>
          <w:i/>
          <w:sz w:val="20"/>
        </w:rPr>
        <w:t>\[R_{30,t} = \sum_{d=t-29}^{t} R_d\]</w:t>
      </w:r>
    </w:p>
    <w:p>
      <w:pPr>
        <w:pStyle w:val="Heading3"/>
        <w:keepNext/>
      </w:pPr>
      <w:r>
        <w:rPr>
          <w:rFonts w:ascii="Times New Roman" w:hAnsi="Times New Roman" w:eastAsia="Times New Roman"/>
        </w:rPr>
        <w:t>Production model</w:t>
      </w:r>
    </w:p>
    <w:p>
      <w:pPr>
        <w:spacing w:before="80" w:after="120"/>
        <w:jc w:val="center"/>
      </w:pPr>
      <w:r>
        <w:rPr>
          <w:rFonts w:ascii="Times New Roman" w:hAnsi="Times New Roman" w:eastAsia="Times New Roman"/>
          <w:i/>
          <w:sz w:val="20"/>
        </w:rPr>
        <w:t>\[\widehat{Y}^{ML}_{g,t} = f_{ML}(\mathbf{X}_{g,t})\]</w:t>
      </w:r>
    </w:p>
    <w:p>
      <w:pPr>
        <w:pStyle w:val="Heading3"/>
        <w:keepNext/>
      </w:pPr>
      <w:r>
        <w:rPr>
          <w:rFonts w:ascii="Times New Roman" w:hAnsi="Times New Roman" w:eastAsia="Times New Roman"/>
        </w:rPr>
        <w:t>Variety adjustment</w:t>
      </w:r>
    </w:p>
    <w:p>
      <w:pPr>
        <w:spacing w:before="80" w:after="120"/>
        <w:jc w:val="center"/>
      </w:pPr>
      <w:r>
        <w:rPr>
          <w:rFonts w:ascii="Times New Roman" w:hAnsi="Times New Roman" w:eastAsia="Times New Roman"/>
          <w:i/>
          <w:sz w:val="20"/>
        </w:rPr>
        <w:t>\[\widehat{Y}^{variety}_{g,t} = \widehat{Y}^{ML}_{g,t} a_v\]</w:t>
      </w:r>
    </w:p>
    <w:p>
      <w:pPr>
        <w:pStyle w:val="Heading3"/>
        <w:keepNext/>
      </w:pPr>
      <w:r>
        <w:rPr>
          <w:rFonts w:ascii="Times New Roman" w:hAnsi="Times New Roman" w:eastAsia="Times New Roman"/>
        </w:rPr>
        <w:t>Bayesian update</w:t>
      </w:r>
    </w:p>
    <w:p>
      <w:pPr>
        <w:spacing w:before="80" w:after="120"/>
        <w:jc w:val="center"/>
      </w:pPr>
      <w:r>
        <w:rPr>
          <w:rFonts w:ascii="Times New Roman" w:hAnsi="Times New Roman" w:eastAsia="Times New Roman"/>
          <w:i/>
          <w:sz w:val="20"/>
        </w:rPr>
        <w:t>\[p(\theta \mid D_{1:t}) \propto p(D_t \mid \theta)p(\theta \mid D_{1:t-1})\]</w:t>
      </w:r>
    </w:p>
    <w:p>
      <w:pPr>
        <w:pStyle w:val="Heading3"/>
        <w:keepNext/>
      </w:pPr>
      <w:r>
        <w:rPr>
          <w:rFonts w:ascii="Times New Roman" w:hAnsi="Times New Roman" w:eastAsia="Times New Roman"/>
        </w:rPr>
        <w:t>Particle weight</w:t>
      </w:r>
    </w:p>
    <w:p>
      <w:pPr>
        <w:spacing w:before="80" w:after="120"/>
        <w:jc w:val="center"/>
      </w:pPr>
      <w:r>
        <w:rPr>
          <w:rFonts w:ascii="Times New Roman" w:hAnsi="Times New Roman" w:eastAsia="Times New Roman"/>
          <w:i/>
          <w:sz w:val="20"/>
        </w:rPr>
        <w:t>\[w_t^{(i)} \propto w_{t-1}^{(i)}p(D_t \mid \mathbf{S}_t^{(i)},\theta^{(i)})\]</w:t>
      </w:r>
    </w:p>
    <w:p>
      <w:pPr>
        <w:pStyle w:val="Heading3"/>
        <w:keepNext/>
      </w:pPr>
      <w:r>
        <w:rPr>
          <w:rFonts w:ascii="Times New Roman" w:hAnsi="Times New Roman" w:eastAsia="Times New Roman"/>
        </w:rPr>
        <w:t>Effective sample size</w:t>
      </w:r>
    </w:p>
    <w:p>
      <w:pPr>
        <w:spacing w:before="80" w:after="120"/>
        <w:jc w:val="center"/>
      </w:pPr>
      <w:r>
        <w:rPr>
          <w:rFonts w:ascii="Times New Roman" w:hAnsi="Times New Roman" w:eastAsia="Times New Roman"/>
          <w:i/>
          <w:sz w:val="20"/>
        </w:rPr>
        <w:t>\[ESS = 1 / \sum_i (\tilde{w}_i)^2\]</w:t>
      </w:r>
    </w:p>
    <w:p>
      <w:pPr>
        <w:pStyle w:val="Heading3"/>
        <w:keepNext/>
      </w:pPr>
      <w:r>
        <w:rPr>
          <w:rFonts w:ascii="Times New Roman" w:hAnsi="Times New Roman" w:eastAsia="Times New Roman"/>
        </w:rPr>
        <w:t>Pest probability</w:t>
      </w:r>
    </w:p>
    <w:p>
      <w:pPr>
        <w:spacing w:before="80" w:after="120"/>
        <w:jc w:val="center"/>
      </w:pPr>
      <w:r>
        <w:rPr>
          <w:rFonts w:ascii="Times New Roman" w:hAnsi="Times New Roman" w:eastAsia="Times New Roman"/>
          <w:i/>
          <w:sz w:val="20"/>
        </w:rPr>
        <w:t>\[P_{p,g,t} = \sigma(\beta_{0,p}+\boldsymbol{\beta}_p^T\mathbf{X}_{g,t})\]</w:t>
      </w:r>
    </w:p>
    <w:p>
      <w:pPr>
        <w:pStyle w:val="Heading3"/>
        <w:keepNext/>
      </w:pPr>
      <w:r>
        <w:rPr>
          <w:rFonts w:ascii="Times New Roman" w:hAnsi="Times New Roman" w:eastAsia="Times New Roman"/>
        </w:rPr>
        <w:t>Spatial pest pressure</w:t>
      </w:r>
    </w:p>
    <w:p>
      <w:pPr>
        <w:spacing w:before="80" w:after="120"/>
        <w:jc w:val="center"/>
      </w:pPr>
      <w:r>
        <w:rPr>
          <w:rFonts w:ascii="Times New Roman" w:hAnsi="Times New Roman" w:eastAsia="Times New Roman"/>
          <w:i/>
          <w:sz w:val="20"/>
        </w:rPr>
        <w:t>\[P^{*}_{p,g,t}=1-(1-P_{p,g,t})\prod_{h\ne g}(1-k_p(d_{gh})P_{p,h,t})\]</w:t>
      </w:r>
    </w:p>
    <w:p>
      <w:pPr>
        <w:pStyle w:val="Heading3"/>
        <w:keepNext/>
      </w:pPr>
      <w:r>
        <w:rPr>
          <w:rFonts w:ascii="Times New Roman" w:hAnsi="Times New Roman" w:eastAsia="Times New Roman"/>
        </w:rPr>
        <w:t>Expected pest loss</w:t>
      </w:r>
    </w:p>
    <w:p>
      <w:pPr>
        <w:spacing w:before="80" w:after="120"/>
        <w:jc w:val="center"/>
      </w:pPr>
      <w:r>
        <w:rPr>
          <w:rFonts w:ascii="Times New Roman" w:hAnsi="Times New Roman" w:eastAsia="Times New Roman"/>
          <w:i/>
          <w:sz w:val="20"/>
        </w:rPr>
        <w:t>\[\mathbb{E}[L_p]=P(\text{outbreak})L_p^{conditional}\]</w:t>
      </w:r>
    </w:p>
    <w:p>
      <w:pPr>
        <w:pStyle w:val="Heading3"/>
        <w:keepNext/>
      </w:pPr>
      <w:r>
        <w:rPr>
          <w:rFonts w:ascii="Times New Roman" w:hAnsi="Times New Roman" w:eastAsia="Times New Roman"/>
        </w:rPr>
        <w:t>Understory light</w:t>
      </w:r>
    </w:p>
    <w:p>
      <w:pPr>
        <w:spacing w:before="80" w:after="120"/>
        <w:jc w:val="center"/>
      </w:pPr>
      <w:r>
        <w:rPr>
          <w:rFonts w:ascii="Times New Roman" w:hAnsi="Times New Roman" w:eastAsia="Times New Roman"/>
          <w:i/>
          <w:sz w:val="20"/>
        </w:rPr>
        <w:t>\[PAR^{under}_{g,t}=PAR_t\tau(A_g,D_g,C_g,O_g,m)\]</w:t>
      </w:r>
    </w:p>
    <w:p>
      <w:pPr>
        <w:pStyle w:val="Heading3"/>
        <w:keepNext/>
      </w:pPr>
      <w:r>
        <w:rPr>
          <w:rFonts w:ascii="Times New Roman" w:hAnsi="Times New Roman" w:eastAsia="Times New Roman"/>
        </w:rPr>
        <w:t>Intercrop score</w:t>
      </w:r>
    </w:p>
    <w:p>
      <w:pPr>
        <w:spacing w:before="80" w:after="120"/>
        <w:jc w:val="center"/>
      </w:pPr>
      <w:r>
        <w:rPr>
          <w:rFonts w:ascii="Times New Roman" w:hAnsi="Times New Roman" w:eastAsia="Times New Roman"/>
          <w:i/>
          <w:sz w:val="20"/>
        </w:rPr>
        <w:t>\[I_{c,g}=100(\prod_j S_{j,c,g}^{w_j})^{1/\sum_jw_j}(1-P_{competition})(1-P_{pest\ conflict})\]</w:t>
      </w:r>
    </w:p>
    <w:p>
      <w:pPr>
        <w:pStyle w:val="Heading3"/>
        <w:keepNext/>
      </w:pPr>
      <w:r>
        <w:rPr>
          <w:rFonts w:ascii="Times New Roman" w:hAnsi="Times New Roman" w:eastAsia="Times New Roman"/>
        </w:rPr>
        <w:t>Scenario utility</w:t>
      </w:r>
    </w:p>
    <w:p>
      <w:pPr>
        <w:spacing w:before="80" w:after="120"/>
        <w:jc w:val="center"/>
      </w:pPr>
      <w:r>
        <w:rPr>
          <w:rFonts w:ascii="Times New Roman" w:hAnsi="Times New Roman" w:eastAsia="Times New Roman"/>
          <w:i/>
          <w:sz w:val="20"/>
        </w:rPr>
        <w:t>\[U(a)=\mathbb{E}[\sum_t\delta^{t-1}(Y_t^{coconut}+Y_t^{intercrop})]-C(a)-\lambda P(\text{severe loss}\mid a)\]</w:t>
      </w:r>
    </w:p>
    <w:p>
      <w:pPr>
        <w:pStyle w:val="Heading3"/>
        <w:keepNext/>
      </w:pPr>
      <w:r>
        <w:rPr>
          <w:rFonts w:ascii="Times New Roman" w:hAnsi="Times New Roman" w:eastAsia="Times New Roman"/>
        </w:rPr>
        <w:t>Data completeness</w:t>
      </w:r>
    </w:p>
    <w:p>
      <w:pPr>
        <w:spacing w:before="80" w:after="120"/>
        <w:jc w:val="center"/>
      </w:pPr>
      <w:r>
        <w:rPr>
          <w:rFonts w:ascii="Times New Roman" w:hAnsi="Times New Roman" w:eastAsia="Times New Roman"/>
          <w:i/>
          <w:sz w:val="20"/>
        </w:rPr>
        <w:t>\[C_{data}=N_{succeeded,requested}/N_{requested}\]</w:t>
      </w:r>
    </w:p>
    <w:p>
      <w:r>
        <w:rPr>
          <w:rFonts w:ascii="Times New Roman" w:hAnsi="Times New Roman" w:eastAsia="Times New Roman"/>
        </w:rPr>
        <w:br w:type="page"/>
      </w:r>
    </w:p>
    <w:p>
      <w:pPr>
        <w:pStyle w:val="Heading1"/>
        <w:keepNext/>
      </w:pPr>
      <w:r>
        <w:rPr>
          <w:rFonts w:ascii="Times New Roman" w:hAnsi="Times New Roman" w:eastAsia="Times New Roman"/>
        </w:rPr>
        <w:t>Appendix B. Version and Test Matrix</w:t>
      </w:r>
    </w:p>
    <w:tbl>
      <w:tblPr>
        <w:tblW w:type="auto" w:w="0"/>
        <w:jc w:val="center"/>
        <w:tblLayout w:type="autofit"/>
        <w:tblLook w:firstColumn="1" w:firstRow="1" w:lastColumn="0" w:lastRow="0" w:noHBand="0" w:noVBand="1" w:val="04A0"/>
      </w:tblPr>
      <w:tblGrid>
        <w:gridCol w:w="2412"/>
        <w:gridCol w:w="2412"/>
        <w:gridCol w:w="2412"/>
        <w:gridCol w:w="2412"/>
      </w:tblGrid>
      <w:tr>
        <w:trPr>
          <w:tblHeader w:val="true"/>
        </w:trPr>
        <w:tc>
          <w:tcPr>
            <w:tcW w:type="dxa" w:w="2412"/>
            <w:vAlign w:val="center"/>
            <w:tcBorders>
              <w:top w:val="single" w:sz="4" w:color="000000"/>
              <w:left w:val="single" w:sz="4" w:color="000000"/>
              <w:bottom w:val="single" w:sz="4" w:color="000000"/>
              <w:right w:val="single" w:sz="4" w:color="000000"/>
            </w:tcBorders>
          </w:tcPr>
          <w:p>
            <w:pPr>
              <w:jc w:val="center"/>
            </w:pPr>
            <w:r>
              <w:rPr>
                <w:rFonts w:ascii="Times New Roman" w:hAnsi="Times New Roman" w:eastAsia="Times New Roman"/>
                <w:b/>
                <w:sz w:val="19"/>
              </w:rPr>
              <w:t>Phase</w:t>
            </w:r>
          </w:p>
        </w:tc>
        <w:tc>
          <w:tcPr>
            <w:tcW w:type="dxa" w:w="2412"/>
            <w:vAlign w:val="center"/>
            <w:tcBorders>
              <w:top w:val="single" w:sz="4" w:color="000000"/>
              <w:left w:val="single" w:sz="4" w:color="000000"/>
              <w:bottom w:val="single" w:sz="4" w:color="000000"/>
              <w:right w:val="single" w:sz="4" w:color="000000"/>
            </w:tcBorders>
          </w:tcPr>
          <w:p>
            <w:pPr>
              <w:jc w:val="center"/>
            </w:pPr>
            <w:r>
              <w:rPr>
                <w:rFonts w:ascii="Times New Roman" w:hAnsi="Times New Roman" w:eastAsia="Times New Roman"/>
                <w:b/>
                <w:sz w:val="19"/>
              </w:rPr>
              <w:t>Primary engine or capability</w:t>
            </w:r>
          </w:p>
        </w:tc>
        <w:tc>
          <w:tcPr>
            <w:tcW w:type="dxa" w:w="2412"/>
            <w:vAlign w:val="center"/>
            <w:tcBorders>
              <w:top w:val="single" w:sz="4" w:color="000000"/>
              <w:left w:val="single" w:sz="4" w:color="000000"/>
              <w:bottom w:val="single" w:sz="4" w:color="000000"/>
              <w:right w:val="single" w:sz="4" w:color="000000"/>
            </w:tcBorders>
          </w:tcPr>
          <w:p>
            <w:pPr>
              <w:jc w:val="center"/>
            </w:pPr>
            <w:r>
              <w:rPr>
                <w:rFonts w:ascii="Times New Roman" w:hAnsi="Times New Roman" w:eastAsia="Times New Roman"/>
                <w:b/>
                <w:sz w:val="19"/>
              </w:rPr>
              <w:t>Contract / migration</w:t>
            </w:r>
          </w:p>
        </w:tc>
        <w:tc>
          <w:tcPr>
            <w:tcW w:type="dxa" w:w="2412"/>
            <w:vAlign w:val="center"/>
            <w:tcBorders>
              <w:top w:val="single" w:sz="4" w:color="000000"/>
              <w:left w:val="single" w:sz="4" w:color="000000"/>
              <w:bottom w:val="single" w:sz="4" w:color="000000"/>
              <w:right w:val="single" w:sz="4" w:color="000000"/>
            </w:tcBorders>
          </w:tcPr>
          <w:p>
            <w:pPr>
              <w:jc w:val="center"/>
            </w:pPr>
            <w:r>
              <w:rPr>
                <w:rFonts w:ascii="Times New Roman" w:hAnsi="Times New Roman" w:eastAsia="Times New Roman"/>
                <w:b/>
                <w:sz w:val="19"/>
              </w:rPr>
              <w:t>Tests</w:t>
            </w:r>
          </w:p>
        </w:tc>
      </w:tr>
      <w:tr>
        <w:tc>
          <w:tcPr>
            <w:tcW w:type="dxa" w:w="2412"/>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0</w:t>
            </w:r>
          </w:p>
        </w:tc>
        <w:tc>
          <w:tcPr>
            <w:tcW w:type="dxa" w:w="2412"/>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Baseline preservation and audit</w:t>
            </w:r>
          </w:p>
        </w:tc>
        <w:tc>
          <w:tcPr>
            <w:tcW w:type="dxa" w:w="2412"/>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Legacy v2.11 baseline</w:t>
            </w:r>
          </w:p>
        </w:tc>
        <w:tc>
          <w:tcPr>
            <w:tcW w:type="dxa" w:w="2412"/>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111</w:t>
            </w:r>
          </w:p>
        </w:tc>
      </w:tr>
      <w:tr>
        <w:tc>
          <w:tcPr>
            <w:tcW w:type="dxa" w:w="2412"/>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1</w:t>
            </w:r>
          </w:p>
        </w:tc>
        <w:tc>
          <w:tcPr>
            <w:tcW w:type="dxa" w:w="2412"/>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Architecture and data contracts</w:t>
            </w:r>
          </w:p>
        </w:tc>
        <w:tc>
          <w:tcPr>
            <w:tcW w:type="dxa" w:w="2412"/>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Draft 1, migration framework</w:t>
            </w:r>
          </w:p>
        </w:tc>
        <w:tc>
          <w:tcPr>
            <w:tcW w:type="dxa" w:w="2412"/>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135</w:t>
            </w:r>
          </w:p>
        </w:tc>
      </w:tr>
      <w:tr>
        <w:tc>
          <w:tcPr>
            <w:tcW w:type="dxa" w:w="2412"/>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2</w:t>
            </w:r>
          </w:p>
        </w:tc>
        <w:tc>
          <w:tcPr>
            <w:tcW w:type="dxa" w:w="2412"/>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PCA data foundation</w:t>
            </w:r>
          </w:p>
        </w:tc>
        <w:tc>
          <w:tcPr>
            <w:tcW w:type="dxa" w:w="2412"/>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Migration 2</w:t>
            </w:r>
          </w:p>
        </w:tc>
        <w:tc>
          <w:tcPr>
            <w:tcW w:type="dxa" w:w="2412"/>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146</w:t>
            </w:r>
          </w:p>
        </w:tc>
      </w:tr>
      <w:tr>
        <w:tc>
          <w:tcPr>
            <w:tcW w:type="dxa" w:w="2412"/>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3</w:t>
            </w:r>
          </w:p>
        </w:tc>
        <w:tc>
          <w:tcPr>
            <w:tcW w:type="dxa" w:w="2412"/>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Weather assimilation</w:t>
            </w:r>
          </w:p>
        </w:tc>
        <w:tc>
          <w:tcPr>
            <w:tcW w:type="dxa" w:w="2412"/>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Migration 3</w:t>
            </w:r>
          </w:p>
        </w:tc>
        <w:tc>
          <w:tcPr>
            <w:tcW w:type="dxa" w:w="2412"/>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169</w:t>
            </w:r>
          </w:p>
        </w:tc>
      </w:tr>
      <w:tr>
        <w:tc>
          <w:tcPr>
            <w:tcW w:type="dxa" w:w="2412"/>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4</w:t>
            </w:r>
          </w:p>
        </w:tc>
        <w:tc>
          <w:tcPr>
            <w:tcW w:type="dxa" w:w="2412"/>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Production engine adapter</w:t>
            </w:r>
          </w:p>
        </w:tc>
        <w:tc>
          <w:tcPr>
            <w:tcW w:type="dxa" w:w="2412"/>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Migration 4</w:t>
            </w:r>
          </w:p>
        </w:tc>
        <w:tc>
          <w:tcPr>
            <w:tcW w:type="dxa" w:w="2412"/>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185</w:t>
            </w:r>
          </w:p>
        </w:tc>
      </w:tr>
      <w:tr>
        <w:tc>
          <w:tcPr>
            <w:tcW w:type="dxa" w:w="2412"/>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5</w:t>
            </w:r>
          </w:p>
        </w:tc>
        <w:tc>
          <w:tcPr>
            <w:tcW w:type="dxa" w:w="2412"/>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Bayesian farm-state simulator</w:t>
            </w:r>
          </w:p>
        </w:tc>
        <w:tc>
          <w:tcPr>
            <w:tcW w:type="dxa" w:w="2412"/>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Migration 5</w:t>
            </w:r>
          </w:p>
        </w:tc>
        <w:tc>
          <w:tcPr>
            <w:tcW w:type="dxa" w:w="2412"/>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197</w:t>
            </w:r>
          </w:p>
        </w:tc>
      </w:tr>
      <w:tr>
        <w:tc>
          <w:tcPr>
            <w:tcW w:type="dxa" w:w="2412"/>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6</w:t>
            </w:r>
          </w:p>
        </w:tc>
        <w:tc>
          <w:tcPr>
            <w:tcW w:type="dxa" w:w="2412"/>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Pest-risk inference</w:t>
            </w:r>
          </w:p>
        </w:tc>
        <w:tc>
          <w:tcPr>
            <w:tcW w:type="dxa" w:w="2412"/>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Migration 6</w:t>
            </w:r>
          </w:p>
        </w:tc>
        <w:tc>
          <w:tcPr>
            <w:tcW w:type="dxa" w:w="2412"/>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210</w:t>
            </w:r>
          </w:p>
        </w:tc>
      </w:tr>
      <w:tr>
        <w:tc>
          <w:tcPr>
            <w:tcW w:type="dxa" w:w="2412"/>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6.1</w:t>
            </w:r>
          </w:p>
        </w:tc>
        <w:tc>
          <w:tcPr>
            <w:tcW w:type="dxa" w:w="2412"/>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Weather provider resilience</w:t>
            </w:r>
          </w:p>
        </w:tc>
        <w:tc>
          <w:tcPr>
            <w:tcW w:type="dxa" w:w="2412"/>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Hotfix</w:t>
            </w:r>
          </w:p>
        </w:tc>
        <w:tc>
          <w:tcPr>
            <w:tcW w:type="dxa" w:w="2412"/>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214</w:t>
            </w:r>
          </w:p>
        </w:tc>
      </w:tr>
      <w:tr>
        <w:tc>
          <w:tcPr>
            <w:tcW w:type="dxa" w:w="2412"/>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6.2</w:t>
            </w:r>
          </w:p>
        </w:tc>
        <w:tc>
          <w:tcPr>
            <w:tcW w:type="dxa" w:w="2412"/>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Windows setup path reliability</w:t>
            </w:r>
          </w:p>
        </w:tc>
        <w:tc>
          <w:tcPr>
            <w:tcW w:type="dxa" w:w="2412"/>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Hotfix</w:t>
            </w:r>
          </w:p>
        </w:tc>
        <w:tc>
          <w:tcPr>
            <w:tcW w:type="dxa" w:w="2412"/>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219</w:t>
            </w:r>
          </w:p>
        </w:tc>
      </w:tr>
      <w:tr>
        <w:tc>
          <w:tcPr>
            <w:tcW w:type="dxa" w:w="2412"/>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7</w:t>
            </w:r>
          </w:p>
        </w:tc>
        <w:tc>
          <w:tcPr>
            <w:tcW w:type="dxa" w:w="2412"/>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Intercropping potential</w:t>
            </w:r>
          </w:p>
        </w:tc>
        <w:tc>
          <w:tcPr>
            <w:tcW w:type="dxa" w:w="2412"/>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Migration 7</w:t>
            </w:r>
          </w:p>
        </w:tc>
        <w:tc>
          <w:tcPr>
            <w:tcW w:type="dxa" w:w="2412"/>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231</w:t>
            </w:r>
          </w:p>
        </w:tc>
      </w:tr>
      <w:tr>
        <w:tc>
          <w:tcPr>
            <w:tcW w:type="dxa" w:w="2412"/>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8</w:t>
            </w:r>
          </w:p>
        </w:tc>
        <w:tc>
          <w:tcPr>
            <w:tcW w:type="dxa" w:w="2412"/>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Rehabilitation scenarios</w:t>
            </w:r>
          </w:p>
        </w:tc>
        <w:tc>
          <w:tcPr>
            <w:tcW w:type="dxa" w:w="2412"/>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Migration 8</w:t>
            </w:r>
          </w:p>
        </w:tc>
        <w:tc>
          <w:tcPr>
            <w:tcW w:type="dxa" w:w="2412"/>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239</w:t>
            </w:r>
          </w:p>
        </w:tc>
      </w:tr>
      <w:tr>
        <w:tc>
          <w:tcPr>
            <w:tcW w:type="dxa" w:w="2412"/>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8.1</w:t>
            </w:r>
          </w:p>
        </w:tc>
        <w:tc>
          <w:tcPr>
            <w:tcW w:type="dxa" w:w="2412"/>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JSON diagnostics and workflow</w:t>
            </w:r>
          </w:p>
        </w:tc>
        <w:tc>
          <w:tcPr>
            <w:tcW w:type="dxa" w:w="2412"/>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Hotfix</w:t>
            </w:r>
          </w:p>
        </w:tc>
        <w:tc>
          <w:tcPr>
            <w:tcW w:type="dxa" w:w="2412"/>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244</w:t>
            </w:r>
          </w:p>
        </w:tc>
      </w:tr>
      <w:tr>
        <w:tc>
          <w:tcPr>
            <w:tcW w:type="dxa" w:w="2412"/>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9</w:t>
            </w:r>
          </w:p>
        </w:tc>
        <w:tc>
          <w:tcPr>
            <w:tcW w:type="dxa" w:w="2412"/>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Integrated decision-support network</w:t>
            </w:r>
          </w:p>
        </w:tc>
        <w:tc>
          <w:tcPr>
            <w:tcW w:type="dxa" w:w="2412"/>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Draft 9, migration 9</w:t>
            </w:r>
          </w:p>
        </w:tc>
        <w:tc>
          <w:tcPr>
            <w:tcW w:type="dxa" w:w="2412"/>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252</w:t>
            </w:r>
          </w:p>
        </w:tc>
      </w:tr>
    </w:tbl>
    <w:p>
      <w:pPr>
        <w:spacing w:after="0"/>
      </w:pPr>
    </w:p>
    <w:p>
      <w:pPr>
        <w:pStyle w:val="Heading1"/>
        <w:keepNext/>
      </w:pPr>
      <w:r>
        <w:rPr>
          <w:rFonts w:ascii="Times New Roman" w:hAnsi="Times New Roman" w:eastAsia="Times New Roman"/>
        </w:rPr>
        <w:t>Appendix C. Release File Responsibilities</w:t>
      </w:r>
    </w:p>
    <w:tbl>
      <w:tblPr>
        <w:tblW w:type="auto" w:w="0"/>
        <w:jc w:val="center"/>
        <w:tblLayout w:type="autofit"/>
        <w:tblLook w:firstColumn="1" w:firstRow="1" w:lastColumn="0" w:lastRow="0" w:noHBand="0" w:noVBand="1" w:val="04A0"/>
      </w:tblPr>
      <w:tblGrid>
        <w:gridCol w:w="4824"/>
        <w:gridCol w:w="4824"/>
      </w:tblGrid>
      <w:tr>
        <w:trPr>
          <w:tblHeader w:val="true"/>
        </w:trPr>
        <w:tc>
          <w:tcPr>
            <w:tcW w:type="dxa" w:w="4824"/>
            <w:vAlign w:val="center"/>
            <w:tcBorders>
              <w:top w:val="single" w:sz="4" w:color="000000"/>
              <w:left w:val="single" w:sz="4" w:color="000000"/>
              <w:bottom w:val="single" w:sz="4" w:color="000000"/>
              <w:right w:val="single" w:sz="4" w:color="000000"/>
            </w:tcBorders>
          </w:tcPr>
          <w:p>
            <w:pPr>
              <w:jc w:val="center"/>
            </w:pPr>
            <w:r>
              <w:rPr>
                <w:rFonts w:ascii="Times New Roman" w:hAnsi="Times New Roman" w:eastAsia="Times New Roman"/>
                <w:b/>
                <w:sz w:val="19"/>
              </w:rPr>
              <w:t>Artifact</w:t>
            </w:r>
          </w:p>
        </w:tc>
        <w:tc>
          <w:tcPr>
            <w:tcW w:type="dxa" w:w="4824"/>
            <w:vAlign w:val="center"/>
            <w:tcBorders>
              <w:top w:val="single" w:sz="4" w:color="000000"/>
              <w:left w:val="single" w:sz="4" w:color="000000"/>
              <w:bottom w:val="single" w:sz="4" w:color="000000"/>
              <w:right w:val="single" w:sz="4" w:color="000000"/>
            </w:tcBorders>
          </w:tcPr>
          <w:p>
            <w:pPr>
              <w:jc w:val="center"/>
            </w:pPr>
            <w:r>
              <w:rPr>
                <w:rFonts w:ascii="Times New Roman" w:hAnsi="Times New Roman" w:eastAsia="Times New Roman"/>
                <w:b/>
                <w:sz w:val="19"/>
              </w:rPr>
              <w:t>Purpose</w:t>
            </w:r>
          </w:p>
        </w:tc>
      </w:tr>
      <w:tr>
        <w:tc>
          <w:tcPr>
            <w:tcW w:type="dxa" w:w="4824"/>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setup.bat</w:t>
            </w:r>
          </w:p>
        </w:tc>
        <w:tc>
          <w:tcPr>
            <w:tcW w:type="dxa" w:w="4824"/>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Creates or repairs the short external environment, installs dependencies, applies migrations, and verifies phases.</w:t>
            </w:r>
          </w:p>
        </w:tc>
      </w:tr>
      <w:tr>
        <w:tc>
          <w:tcPr>
            <w:tcW w:type="dxa" w:w="4824"/>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test.bat</w:t>
            </w:r>
          </w:p>
        </w:tc>
        <w:tc>
          <w:tcPr>
            <w:tcW w:type="dxa" w:w="4824"/>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Runs the complete test inventory with isolated test-file processes on the user machine.</w:t>
            </w:r>
          </w:p>
        </w:tc>
      </w:tr>
      <w:tr>
        <w:tc>
          <w:tcPr>
            <w:tcW w:type="dxa" w:w="4824"/>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run.bat</w:t>
            </w:r>
          </w:p>
        </w:tc>
        <w:tc>
          <w:tcPr>
            <w:tcW w:type="dxa" w:w="4824"/>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Starts the FastAPI application and local web interface.</w:t>
            </w:r>
          </w:p>
        </w:tc>
      </w:tr>
      <w:tr>
        <w:tc>
          <w:tcPr>
            <w:tcW w:type="dxa" w:w="4824"/>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check_weather_provider.bat</w:t>
            </w:r>
          </w:p>
        </w:tc>
        <w:tc>
          <w:tcPr>
            <w:tcW w:type="dxa" w:w="4824"/>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Diagnoses DNS, TLS, proxy, timeout, and provider-response behavior.</w:t>
            </w:r>
          </w:p>
        </w:tc>
      </w:tr>
      <w:tr>
        <w:tc>
          <w:tcPr>
            <w:tcW w:type="dxa" w:w="4824"/>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run_phase9_workflow.bat</w:t>
            </w:r>
          </w:p>
        </w:tc>
        <w:tc>
          <w:tcPr>
            <w:tcW w:type="dxa" w:w="4824"/>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Completes pest, intercropping, rehabilitation, and Phase 9 composition without manual JSON editing.</w:t>
            </w:r>
          </w:p>
        </w:tc>
      </w:tr>
      <w:tr>
        <w:tc>
          <w:tcPr>
            <w:tcW w:type="dxa" w:w="4824"/>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manifests/</w:t>
            </w:r>
          </w:p>
        </w:tc>
        <w:tc>
          <w:tcPr>
            <w:tcW w:type="dxa" w:w="4824"/>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Stores contract hashes, engine descriptors, migrations, parameters, source checksums, and inventories.</w:t>
            </w:r>
          </w:p>
        </w:tc>
      </w:tr>
      <w:tr>
        <w:tc>
          <w:tcPr>
            <w:tcW w:type="dxa" w:w="4824"/>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docs/phase_9/</w:t>
            </w:r>
          </w:p>
        </w:tc>
        <w:tc>
          <w:tcPr>
            <w:tcW w:type="dxa" w:w="4824"/>
            <w:vAlign w:val="top"/>
            <w:tcBorders>
              <w:top w:val="single" w:sz="4" w:color="000000"/>
              <w:left w:val="single" w:sz="4" w:color="000000"/>
              <w:bottom w:val="single" w:sz="4" w:color="000000"/>
              <w:right w:val="single" w:sz="4" w:color="000000"/>
            </w:tcBorders>
          </w:tcPr>
          <w:p>
            <w:pPr>
              <w:spacing w:after="0"/>
            </w:pPr>
            <w:r>
              <w:rPr>
                <w:rFonts w:ascii="Times New Roman" w:hAnsi="Times New Roman" w:eastAsia="Times New Roman"/>
                <w:sz w:val="19"/>
              </w:rPr>
              <w:t>Stores Phase 9 architecture, contracts, API, limitations, testing, and user actions.</w:t>
            </w:r>
          </w:p>
        </w:tc>
      </w:tr>
    </w:tbl>
    <w:p>
      <w:pPr>
        <w:spacing w:after="0"/>
      </w:pPr>
    </w:p>
    <w:sectPr w:rsidR="00FC693F" w:rsidRPr="0006063C" w:rsidSect="00034616">
      <w:footerReference w:type="default" r:id="rId9"/>
      <w:pgSz w:w="12240" w:h="15840"/>
      <w:pgMar w:top="1152" w:right="1296" w:bottom="1080" w:left="1296"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eastAsia="Times New Roman"/>
      <w:b/>
      <w:bCs/>
      <w:sz w:val="30"/>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140" w:after="100"/>
      <w:outlineLvl w:val="2"/>
    </w:pPr>
    <w:rPr>
      <w:rFonts w:asciiTheme="majorHAnsi" w:eastAsiaTheme="majorEastAsia" w:hAnsiTheme="majorHAnsi" w:cstheme="majorBidi" w:ascii="Times New Roman" w:hAnsi="Times New Roman" w:eastAsia="Times New Roman"/>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eastAsia="Times New Roman"/>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sz w:val="22"/>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COCOAID Detailed Engineering Process Report - Phases 0 to 9</dc:title>
  <dc:subject>COCOAID software engineering, mathematical framework, testing, and development history</dc:subject>
  <dc:creator>COCOAID Research Project</dc:creator>
  <cp:keywords>COCOAID, coconut, Bayesian, intercropping, pest risk, rehabilitation, software engineering</cp:keywords>
  <dc:description>Formal engineering process report. Monochrome Times New Roman edition.</dc:description>
  <cp:lastModifiedBy/>
  <cp:revision>1</cp:revision>
  <dcterms:created xsi:type="dcterms:W3CDTF">2013-12-23T23:15:00Z</dcterms:created>
  <dcterms:modified xsi:type="dcterms:W3CDTF">2013-12-23T23:15:00Z</dcterms:modified>
  <cp:category/>
</cp:coreProperties>
</file>