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DAF6A">
      <w:pPr>
        <w:jc w:val="center"/>
        <w:rPr>
          <w:rFonts w:hint="default" w:ascii="Times New Roman" w:hAnsi="Times New Roman" w:cs="Times New Roman"/>
          <w:b w:val="0"/>
          <w:bCs w:val="0"/>
          <w:sz w:val="76"/>
          <w:szCs w:val="76"/>
          <w:u w:val="singl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76"/>
          <w:szCs w:val="76"/>
          <w:u w:val="single"/>
          <w:lang w:val="en-GB"/>
        </w:rPr>
        <w:t>Rapport du TP1</w:t>
      </w:r>
    </w:p>
    <w:p w14:paraId="332BCD97">
      <w:pPr>
        <w:jc w:val="center"/>
        <w:rPr>
          <w:rFonts w:hint="default" w:ascii="Times New Roman" w:hAnsi="Times New Roman"/>
          <w:b w:val="0"/>
          <w:bCs w:val="0"/>
          <w:sz w:val="76"/>
          <w:szCs w:val="76"/>
          <w:u w:val="single"/>
          <w:lang w:val="en-GB"/>
        </w:rPr>
      </w:pPr>
      <w:r>
        <w:rPr>
          <w:rFonts w:hint="default" w:ascii="Times New Roman" w:hAnsi="Times New Roman"/>
          <w:b w:val="0"/>
          <w:bCs w:val="0"/>
          <w:sz w:val="76"/>
          <w:szCs w:val="76"/>
          <w:u w:val="single"/>
          <w:lang w:val="en-GB"/>
        </w:rPr>
        <w:t>Admin. Base de données Oracle</w:t>
      </w:r>
    </w:p>
    <w:p w14:paraId="7B91D8B3">
      <w:pPr>
        <w:jc w:val="center"/>
        <w:rPr>
          <w:rFonts w:hint="default" w:ascii="Times New Roman" w:hAnsi="Times New Roman"/>
          <w:b w:val="0"/>
          <w:bCs w:val="0"/>
          <w:sz w:val="76"/>
          <w:szCs w:val="76"/>
          <w:lang w:val="en-GB"/>
        </w:rPr>
      </w:pPr>
    </w:p>
    <w:p w14:paraId="24AC593C">
      <w:pPr>
        <w:jc w:val="center"/>
        <w:rPr>
          <w:rFonts w:hint="default" w:ascii="Times New Roman" w:hAnsi="Times New Roman"/>
          <w:b w:val="0"/>
          <w:bCs w:val="0"/>
          <w:sz w:val="76"/>
          <w:szCs w:val="76"/>
          <w:lang w:val="en-GB"/>
        </w:rPr>
      </w:pPr>
    </w:p>
    <w:p w14:paraId="7D4461C9">
      <w:pPr>
        <w:jc w:val="center"/>
        <w:rPr>
          <w:rFonts w:hint="default" w:ascii="Times New Roman" w:hAnsi="Times New Roman"/>
          <w:b w:val="0"/>
          <w:bCs w:val="0"/>
          <w:sz w:val="52"/>
          <w:szCs w:val="52"/>
          <w:lang w:val="en-GB"/>
        </w:rPr>
      </w:pPr>
      <w:r>
        <w:rPr>
          <w:rFonts w:hint="default" w:ascii="Times New Roman" w:hAnsi="Times New Roman"/>
          <w:b w:val="0"/>
          <w:bCs w:val="0"/>
          <w:sz w:val="52"/>
          <w:szCs w:val="52"/>
          <w:lang w:val="en-GB"/>
        </w:rPr>
        <w:t>Aymen IGRI</w:t>
      </w:r>
    </w:p>
    <w:p w14:paraId="33358FB0">
      <w:pPr>
        <w:jc w:val="center"/>
        <w:rPr>
          <w:rFonts w:hint="default" w:ascii="Times New Roman" w:hAnsi="Times New Roman"/>
          <w:b w:val="0"/>
          <w:bCs w:val="0"/>
          <w:sz w:val="76"/>
          <w:szCs w:val="76"/>
          <w:lang w:val="en-GB"/>
        </w:rPr>
      </w:pPr>
      <w:bookmarkStart w:id="0" w:name="_GoBack"/>
      <w:bookmarkEnd w:id="0"/>
    </w:p>
    <w:p w14:paraId="45262969">
      <w:pPr>
        <w:jc w:val="center"/>
        <w:rPr>
          <w:rFonts w:hint="default" w:ascii="Times New Roman" w:hAnsi="Times New Roman"/>
          <w:b w:val="0"/>
          <w:bCs w:val="0"/>
          <w:sz w:val="76"/>
          <w:szCs w:val="76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A73BAF9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en-GB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GB"/>
        </w:rPr>
        <w:t>Partie 1: Dictionnaire de données</w:t>
      </w:r>
    </w:p>
    <w:p w14:paraId="6F2BAD54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en-GB"/>
        </w:rPr>
      </w:pPr>
    </w:p>
    <w:p w14:paraId="07F255E9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GB"/>
        </w:rPr>
        <w:t xml:space="preserve">1. </w:t>
      </w:r>
    </w:p>
    <w:p w14:paraId="192576C8">
      <w:pPr>
        <w:jc w:val="center"/>
      </w:pPr>
      <w:r>
        <w:drawing>
          <wp:inline distT="0" distB="0" distL="114300" distR="114300">
            <wp:extent cx="3952240" cy="201168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98C0">
      <w:pPr>
        <w:jc w:val="left"/>
        <w:rPr>
          <w:rFonts w:hint="default"/>
          <w:lang w:val="en-GB"/>
        </w:rPr>
      </w:pPr>
    </w:p>
    <w:p w14:paraId="2A5EA656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6FC6BF2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47340" cy="1645920"/>
            <wp:effectExtent l="0" t="0" r="1016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0BB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03C58A3E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4521835" cy="2237740"/>
            <wp:effectExtent l="0" t="0" r="1206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BB1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7F4F012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71370" cy="1116330"/>
            <wp:effectExtent l="0" t="0" r="1143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ABDE9">
      <w:pPr>
        <w:numPr>
          <w:ilvl w:val="0"/>
          <w:numId w:val="0"/>
        </w:numPr>
        <w:ind w:leftChars="0"/>
        <w:jc w:val="center"/>
      </w:pPr>
    </w:p>
    <w:p w14:paraId="1714FF6F">
      <w:pPr>
        <w:numPr>
          <w:ilvl w:val="0"/>
          <w:numId w:val="0"/>
        </w:numPr>
        <w:ind w:leftChars="0"/>
        <w:jc w:val="center"/>
      </w:pPr>
    </w:p>
    <w:p w14:paraId="6853BA68">
      <w:pPr>
        <w:numPr>
          <w:ilvl w:val="0"/>
          <w:numId w:val="0"/>
        </w:numPr>
        <w:ind w:leftChars="0"/>
        <w:jc w:val="center"/>
      </w:pPr>
    </w:p>
    <w:p w14:paraId="7181C1E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722C5B9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667125" cy="79057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4B6D">
      <w:pPr>
        <w:numPr>
          <w:ilvl w:val="0"/>
          <w:numId w:val="0"/>
        </w:numPr>
        <w:ind w:leftChars="0"/>
        <w:jc w:val="center"/>
      </w:pPr>
    </w:p>
    <w:p w14:paraId="67C0D73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1A8F7E4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3687445" cy="3028950"/>
            <wp:effectExtent l="0" t="0" r="825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AAF8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66652F2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015105" cy="3219450"/>
            <wp:effectExtent l="0" t="0" r="1079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C679">
      <w:pPr>
        <w:numPr>
          <w:ilvl w:val="0"/>
          <w:numId w:val="0"/>
        </w:numPr>
        <w:ind w:leftChars="0"/>
        <w:jc w:val="center"/>
      </w:pPr>
    </w:p>
    <w:p w14:paraId="26E4A8F1">
      <w:pPr>
        <w:numPr>
          <w:ilvl w:val="0"/>
          <w:numId w:val="0"/>
        </w:numPr>
        <w:ind w:leftChars="0"/>
        <w:jc w:val="center"/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8CF5CEF">
      <w:pPr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GB"/>
        </w:rPr>
        <w:t>Partie 2: Gestion de la mémoire</w:t>
      </w:r>
    </w:p>
    <w:p w14:paraId="1A314B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C14C9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8.</w:t>
      </w:r>
    </w:p>
    <w:p w14:paraId="6648308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56100" cy="4467225"/>
            <wp:effectExtent l="0" t="0" r="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3C78">
      <w:pPr>
        <w:numPr>
          <w:ilvl w:val="0"/>
          <w:numId w:val="0"/>
        </w:numPr>
        <w:ind w:leftChars="0"/>
        <w:jc w:val="both"/>
        <w:rPr>
          <w:rFonts w:hint="default"/>
          <w:lang w:val="en-GB"/>
        </w:rPr>
      </w:pPr>
    </w:p>
    <w:p w14:paraId="4152A7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9.</w:t>
      </w:r>
    </w:p>
    <w:p w14:paraId="057B10C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56130" cy="1296035"/>
            <wp:effectExtent l="0" t="0" r="1270" b="1206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5593">
      <w:pPr>
        <w:numPr>
          <w:ilvl w:val="0"/>
          <w:numId w:val="0"/>
        </w:numPr>
        <w:ind w:leftChars="0"/>
        <w:jc w:val="center"/>
      </w:pPr>
    </w:p>
    <w:p w14:paraId="720D2B2D">
      <w:pPr>
        <w:numPr>
          <w:ilvl w:val="0"/>
          <w:numId w:val="0"/>
        </w:numPr>
        <w:ind w:leftChars="0"/>
        <w:jc w:val="center"/>
      </w:pPr>
    </w:p>
    <w:p w14:paraId="4D47F1B7">
      <w:pPr>
        <w:numPr>
          <w:ilvl w:val="0"/>
          <w:numId w:val="0"/>
        </w:numPr>
        <w:ind w:leftChars="0"/>
        <w:jc w:val="center"/>
      </w:pPr>
    </w:p>
    <w:p w14:paraId="00535B13">
      <w:pPr>
        <w:numPr>
          <w:ilvl w:val="0"/>
          <w:numId w:val="0"/>
        </w:numPr>
        <w:ind w:leftChars="0"/>
        <w:jc w:val="center"/>
      </w:pPr>
    </w:p>
    <w:p w14:paraId="7D148C1E">
      <w:pPr>
        <w:numPr>
          <w:ilvl w:val="0"/>
          <w:numId w:val="0"/>
        </w:numPr>
        <w:ind w:leftChars="0"/>
        <w:jc w:val="center"/>
      </w:pPr>
    </w:p>
    <w:p w14:paraId="467F064C">
      <w:pPr>
        <w:numPr>
          <w:ilvl w:val="0"/>
          <w:numId w:val="0"/>
        </w:numPr>
        <w:ind w:leftChars="0"/>
        <w:jc w:val="center"/>
      </w:pPr>
    </w:p>
    <w:p w14:paraId="122E931F">
      <w:pPr>
        <w:numPr>
          <w:ilvl w:val="0"/>
          <w:numId w:val="0"/>
        </w:numPr>
        <w:ind w:leftChars="0"/>
        <w:jc w:val="center"/>
      </w:pPr>
    </w:p>
    <w:p w14:paraId="3A0CA7F4">
      <w:pPr>
        <w:numPr>
          <w:ilvl w:val="0"/>
          <w:numId w:val="0"/>
        </w:numPr>
        <w:ind w:leftChars="0"/>
        <w:jc w:val="center"/>
      </w:pPr>
    </w:p>
    <w:p w14:paraId="339423D9">
      <w:pPr>
        <w:numPr>
          <w:ilvl w:val="0"/>
          <w:numId w:val="0"/>
        </w:numPr>
        <w:ind w:leftChars="0"/>
        <w:jc w:val="center"/>
      </w:pPr>
    </w:p>
    <w:p w14:paraId="26F54D21">
      <w:pPr>
        <w:numPr>
          <w:ilvl w:val="0"/>
          <w:numId w:val="0"/>
        </w:numPr>
        <w:ind w:leftChars="0"/>
        <w:jc w:val="center"/>
      </w:pPr>
    </w:p>
    <w:p w14:paraId="69EA1771">
      <w:pPr>
        <w:numPr>
          <w:ilvl w:val="0"/>
          <w:numId w:val="0"/>
        </w:numPr>
        <w:ind w:leftChars="0"/>
        <w:jc w:val="center"/>
      </w:pPr>
    </w:p>
    <w:p w14:paraId="27BCCA3B">
      <w:pPr>
        <w:numPr>
          <w:ilvl w:val="0"/>
          <w:numId w:val="0"/>
        </w:numPr>
        <w:ind w:leftChars="0"/>
        <w:jc w:val="center"/>
      </w:pPr>
    </w:p>
    <w:p w14:paraId="7C6BC0E5">
      <w:pPr>
        <w:numPr>
          <w:ilvl w:val="0"/>
          <w:numId w:val="0"/>
        </w:numPr>
        <w:ind w:leftChars="0"/>
        <w:jc w:val="center"/>
      </w:pPr>
    </w:p>
    <w:p w14:paraId="52A3893C">
      <w:pPr>
        <w:numPr>
          <w:ilvl w:val="0"/>
          <w:numId w:val="0"/>
        </w:numPr>
        <w:ind w:leftChars="0"/>
        <w:jc w:val="center"/>
      </w:pPr>
    </w:p>
    <w:p w14:paraId="64BE61CF">
      <w:pPr>
        <w:numPr>
          <w:ilvl w:val="0"/>
          <w:numId w:val="2"/>
        </w:numPr>
        <w:ind w:leftChars="0"/>
        <w:jc w:val="both"/>
        <w:rPr>
          <w:rFonts w:hint="default"/>
          <w:lang w:val="en-GB"/>
        </w:rPr>
      </w:pPr>
    </w:p>
    <w:p w14:paraId="786BB42D">
      <w:pPr>
        <w:numPr>
          <w:ilvl w:val="0"/>
          <w:numId w:val="0"/>
        </w:numPr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</w:p>
    <w:p w14:paraId="7FD689B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067050" cy="3278505"/>
            <wp:effectExtent l="0" t="0" r="6350" b="1079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0115">
      <w:pPr>
        <w:numPr>
          <w:ilvl w:val="0"/>
          <w:numId w:val="0"/>
        </w:numPr>
        <w:jc w:val="center"/>
      </w:pPr>
    </w:p>
    <w:p w14:paraId="25964BB0">
      <w:pPr>
        <w:numPr>
          <w:ilvl w:val="0"/>
          <w:numId w:val="0"/>
        </w:numPr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La requet qui va modifie la taille du PGA est : </w:t>
      </w:r>
    </w:p>
    <w:p w14:paraId="09782207">
      <w:pPr>
        <w:numPr>
          <w:ilvl w:val="0"/>
          <w:numId w:val="0"/>
        </w:numPr>
        <w:jc w:val="center"/>
        <w:rPr>
          <w:rFonts w:hint="default" w:ascii="Lucida Sans Unicode" w:hAnsi="Lucida Sans Unicode" w:cs="Lucida Sans Unicode"/>
          <w:b/>
          <w:bCs/>
          <w:color w:val="002060"/>
          <w:lang w:val="en-GB"/>
        </w:rPr>
      </w:pPr>
      <w:r>
        <w:rPr>
          <w:rFonts w:hint="default" w:ascii="Lucida Sans Unicode" w:hAnsi="Lucida Sans Unicode" w:cs="Lucida Sans Unicode"/>
          <w:b/>
          <w:bCs/>
          <w:color w:val="002060"/>
          <w:lang w:val="en-GB"/>
        </w:rPr>
        <w:t>ALTER SYSTEM SET pga_aggregate_target = 500M SCOPE = BOTH;</w:t>
      </w:r>
    </w:p>
    <w:p w14:paraId="4AB870C7">
      <w:pPr>
        <w:numPr>
          <w:ilvl w:val="0"/>
          <w:numId w:val="0"/>
        </w:numPr>
        <w:jc w:val="center"/>
        <w:rPr>
          <w:rFonts w:hint="default" w:ascii="Lucida Sans Unicode" w:hAnsi="Lucida Sans Unicode" w:cs="Lucida Sans Unicode"/>
          <w:b/>
          <w:bCs/>
          <w:color w:val="002060"/>
          <w:lang w:val="en-GB"/>
        </w:rPr>
      </w:pPr>
    </w:p>
    <w:p w14:paraId="6B78395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  <w:t>11.</w:t>
      </w:r>
    </w:p>
    <w:p w14:paraId="42D1631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color w:val="auto"/>
          <w:lang w:val="en-GB"/>
        </w:rPr>
      </w:pPr>
      <w:r>
        <w:drawing>
          <wp:inline distT="0" distB="0" distL="114300" distR="114300">
            <wp:extent cx="5269865" cy="878205"/>
            <wp:effectExtent l="0" t="0" r="635" b="1079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FB3D">
      <w:pPr>
        <w:numPr>
          <w:ilvl w:val="0"/>
          <w:numId w:val="0"/>
        </w:numPr>
        <w:jc w:val="both"/>
        <w:rPr>
          <w:rFonts w:hint="default"/>
          <w:lang w:val="en-GB"/>
        </w:rPr>
      </w:pPr>
    </w:p>
    <w:p w14:paraId="62FF3DE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12. Agmentation du taille SHARED_POOL_SIZE en utilisent la commande suivante:</w:t>
      </w:r>
    </w:p>
    <w:p w14:paraId="478E354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CEA858A">
      <w:pPr>
        <w:numPr>
          <w:ilvl w:val="0"/>
          <w:numId w:val="0"/>
        </w:numPr>
        <w:jc w:val="center"/>
        <w:rPr>
          <w:rFonts w:hint="default" w:ascii="Lucida Sans Unicode" w:hAnsi="Lucida Sans Unicode" w:cs="Lucida Sans Unicode"/>
          <w:color w:val="203864" w:themeColor="accent5" w:themeShade="80"/>
          <w:sz w:val="24"/>
          <w:szCs w:val="24"/>
          <w:lang w:val="en-GB"/>
        </w:rPr>
      </w:pPr>
      <w:r>
        <w:rPr>
          <w:rFonts w:hint="default" w:ascii="Lucida Sans Unicode" w:hAnsi="Lucida Sans Unicode" w:cs="Lucida Sans Unicode"/>
          <w:color w:val="203864" w:themeColor="accent5" w:themeShade="80"/>
          <w:sz w:val="24"/>
          <w:szCs w:val="24"/>
          <w:lang w:val="en-GB"/>
        </w:rPr>
        <w:t>alter system set shared_pool_size=tailleM</w:t>
      </w:r>
    </w:p>
    <w:p w14:paraId="651C1C0B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 xml:space="preserve"> </w:t>
      </w:r>
    </w:p>
    <w:p w14:paraId="717DC4D2">
      <w:pPr>
        <w:numPr>
          <w:numId w:val="0"/>
        </w:numPr>
        <w:jc w:val="center"/>
      </w:pPr>
      <w:r>
        <w:drawing>
          <wp:inline distT="0" distB="0" distL="114300" distR="114300">
            <wp:extent cx="5269865" cy="873125"/>
            <wp:effectExtent l="0" t="0" r="635" b="317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3F09">
      <w:pPr>
        <w:numPr>
          <w:numId w:val="0"/>
        </w:numPr>
        <w:jc w:val="center"/>
      </w:pPr>
    </w:p>
    <w:p w14:paraId="0490C407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Agmentation du taille SHARED_POOL_SIZE en utilisent la commande suivante:</w:t>
      </w:r>
    </w:p>
    <w:p w14:paraId="13F1B33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2C0F98F">
      <w:pPr>
        <w:numPr>
          <w:ilvl w:val="0"/>
          <w:numId w:val="0"/>
        </w:numPr>
        <w:jc w:val="center"/>
        <w:rPr>
          <w:rFonts w:hint="default" w:ascii="Lucida Sans Unicode" w:hAnsi="Lucida Sans Unicode" w:cs="Lucida Sans Unicode"/>
          <w:color w:val="203864" w:themeColor="accent5" w:themeShade="80"/>
          <w:sz w:val="24"/>
          <w:szCs w:val="24"/>
          <w:lang w:val="en-GB"/>
        </w:rPr>
      </w:pPr>
      <w:r>
        <w:rPr>
          <w:rFonts w:hint="default" w:ascii="Lucida Sans Unicode" w:hAnsi="Lucida Sans Unicode" w:cs="Lucida Sans Unicode"/>
          <w:color w:val="203864" w:themeColor="accent5" w:themeShade="80"/>
          <w:sz w:val="24"/>
          <w:szCs w:val="24"/>
          <w:lang w:val="en-GB"/>
        </w:rPr>
        <w:t>alter system set shared_pool_size=tailleM</w:t>
      </w:r>
    </w:p>
    <w:p w14:paraId="189B428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7F3326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1A4129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1E458B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0D34F9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1A1D89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15.</w:t>
      </w:r>
    </w:p>
    <w:p w14:paraId="7DC468B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881880" cy="791210"/>
            <wp:effectExtent l="0" t="0" r="7620" b="889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52B1">
      <w:pPr>
        <w:numPr>
          <w:numId w:val="0"/>
        </w:numPr>
        <w:ind w:leftChars="0"/>
        <w:jc w:val="center"/>
      </w:pPr>
    </w:p>
    <w:p w14:paraId="0128274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16. </w:t>
      </w:r>
    </w:p>
    <w:p w14:paraId="5784D015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4785" cy="419735"/>
            <wp:effectExtent l="0" t="0" r="5715" b="1206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6C75">
      <w:pPr>
        <w:numPr>
          <w:numId w:val="0"/>
        </w:numPr>
        <w:ind w:leftChars="0"/>
        <w:jc w:val="both"/>
      </w:pPr>
    </w:p>
    <w:p w14:paraId="0096656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/>
          <w:lang w:val="en-GB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Agmentation du taille DB_CACHE_SIZE en utilisent la commande suivante:</w:t>
      </w:r>
    </w:p>
    <w:p w14:paraId="470D9CE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51F4F7C">
      <w:pPr>
        <w:numPr>
          <w:numId w:val="0"/>
        </w:numPr>
        <w:ind w:leftChars="0"/>
        <w:jc w:val="center"/>
        <w:rPr>
          <w:rFonts w:hint="default" w:ascii="Lucida Sans Unicode" w:hAnsi="Lucida Sans Unicode"/>
          <w:color w:val="203864" w:themeColor="accent5" w:themeShade="80"/>
          <w:sz w:val="24"/>
          <w:szCs w:val="24"/>
          <w:lang w:val="en-GB"/>
        </w:rPr>
      </w:pPr>
      <w:r>
        <w:rPr>
          <w:rFonts w:hint="default" w:ascii="Lucida Sans Unicode" w:hAnsi="Lucida Sans Unicode"/>
          <w:color w:val="203864" w:themeColor="accent5" w:themeShade="80"/>
          <w:sz w:val="24"/>
          <w:szCs w:val="24"/>
          <w:lang w:val="en-GB"/>
        </w:rPr>
        <w:t>ALTER SYSTEM SET db_cache_size = &lt;new_size&gt; ;</w:t>
      </w:r>
    </w:p>
    <w:p w14:paraId="7CEB8280">
      <w:pPr>
        <w:numPr>
          <w:ilvl w:val="0"/>
          <w:numId w:val="4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06EA9BC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- Les memoires responsable a ce type des operation est SPA</w:t>
      </w:r>
    </w:p>
    <w:p w14:paraId="5EA3A687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- </w:t>
      </w:r>
    </w:p>
    <w:p w14:paraId="46C1598D">
      <w:pPr>
        <w:numPr>
          <w:numId w:val="0"/>
        </w:numPr>
        <w:jc w:val="center"/>
      </w:pPr>
      <w:r>
        <w:drawing>
          <wp:inline distT="0" distB="0" distL="114300" distR="114300">
            <wp:extent cx="4257040" cy="624840"/>
            <wp:effectExtent l="0" t="0" r="10160" b="1016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5B4A">
      <w:pPr>
        <w:numPr>
          <w:numId w:val="0"/>
        </w:numPr>
        <w:jc w:val="both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- </w:t>
      </w:r>
    </w:p>
    <w:p w14:paraId="00F156CD">
      <w:pPr>
        <w:numPr>
          <w:numId w:val="0"/>
        </w:numPr>
        <w:jc w:val="center"/>
        <w:rPr>
          <w:rFonts w:hint="default"/>
          <w:lang w:val="en-GB"/>
        </w:rPr>
      </w:pPr>
      <w:r>
        <w:drawing>
          <wp:inline distT="0" distB="0" distL="114300" distR="114300">
            <wp:extent cx="3880485" cy="524510"/>
            <wp:effectExtent l="0" t="0" r="5715" b="889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726C4"/>
    <w:multiLevelType w:val="singleLevel"/>
    <w:tmpl w:val="931726C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DC69E5B"/>
    <w:multiLevelType w:val="singleLevel"/>
    <w:tmpl w:val="9DC69E5B"/>
    <w:lvl w:ilvl="0" w:tentative="0">
      <w:start w:val="17"/>
      <w:numFmt w:val="decimal"/>
      <w:suff w:val="space"/>
      <w:lvlText w:val="%1."/>
      <w:lvlJc w:val="left"/>
    </w:lvl>
  </w:abstractNum>
  <w:abstractNum w:abstractNumId="2">
    <w:nsid w:val="A6DCAC34"/>
    <w:multiLevelType w:val="singleLevel"/>
    <w:tmpl w:val="A6DCAC34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7546981A"/>
    <w:multiLevelType w:val="singleLevel"/>
    <w:tmpl w:val="7546981A"/>
    <w:lvl w:ilvl="0" w:tentative="0">
      <w:start w:val="10"/>
      <w:numFmt w:val="decimal"/>
      <w:suff w:val="space"/>
      <w:lvlText w:val="%1."/>
      <w:lvlJc w:val="left"/>
      <w:rPr>
        <w:rFonts w:hint="default" w:ascii="Times New Roman" w:hAnsi="Times New Roman" w:cs="Times New Roman"/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126ED"/>
    <w:rsid w:val="03F72F5C"/>
    <w:rsid w:val="044874C7"/>
    <w:rsid w:val="0D2F01C5"/>
    <w:rsid w:val="17B92FD5"/>
    <w:rsid w:val="38312C6E"/>
    <w:rsid w:val="392A0EC5"/>
    <w:rsid w:val="39C64A86"/>
    <w:rsid w:val="3E6B1BF8"/>
    <w:rsid w:val="58604398"/>
    <w:rsid w:val="6111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2025-10-02T15:37:00Z</dcterms:created>
  <dc:creator>AYMEN IGRI</dc:creator>
  <cp:lastModifiedBy>AYMEN IGRI</cp:lastModifiedBy>
  <dcterms:modified xsi:type="dcterms:W3CDTF">2025-10-07T00:10:05Z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9FFB5BB75BC74C60B7D52D4BFDDE1E97_11</vt:lpwstr>
  </property>
</Properties>
</file>