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2"/>
          <w:szCs w:val="32"/>
          <w:b w:val="1"/>
          <w:bCs w:val="1"/>
          <w:color w:val="0F4C81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7412355</wp:posOffset>
                </wp:positionH>
                <wp:positionV relativeFrom="page">
                  <wp:posOffset>353060</wp:posOffset>
                </wp:positionV>
                <wp:extent cx="0" cy="9351645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1" o:spid="_x0000_s1026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3.65pt,27.8pt" to="583.65pt,764.1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359410</wp:posOffset>
                </wp:positionV>
                <wp:extent cx="7065645" cy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2" o:spid="_x0000_s1027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7.8pt,28.3pt" to="584.15pt,28.3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353060</wp:posOffset>
                </wp:positionV>
                <wp:extent cx="0" cy="9351645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3" o:spid="_x0000_s1028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pt,27.8pt" to="28.3pt,764.1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9698355</wp:posOffset>
                </wp:positionV>
                <wp:extent cx="7065645" cy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4" o:spid="_x0000_s1029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7.8pt,763.65pt" to="584.15pt,763.65pt" o:allowincell="f" strokecolor="#000000" strokeweight="1pt">
                <w10:wrap anchorx="page" anchory="page"/>
              </v:line>
            </w:pict>
          </mc:Fallback>
        </mc:AlternateContent>
        <w:t>AYMERIC PETIT</w:t>
      </w:r>
    </w:p>
    <w:p>
      <w:pPr>
        <w:spacing w:after="0" w:line="134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320, rue Saint-Louis, app. B7050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jc w:val="center"/>
        <w:ind w:right="4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Rimouski (Québec)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+1 (581) 672-6852</w:t>
      </w:r>
    </w:p>
    <w:p>
      <w:pPr>
        <w:spacing w:after="0" w:line="70" w:lineRule="exact"/>
        <w:rPr>
          <w:sz w:val="24"/>
          <w:szCs w:val="24"/>
          <w:color w:val="auto"/>
        </w:rPr>
      </w:pPr>
    </w:p>
    <w:p>
      <w:pPr>
        <w:jc w:val="center"/>
        <w:ind w:righ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Courriel : aymeric.petit@icloud.com</w:t>
      </w:r>
    </w:p>
    <w:p>
      <w:pPr>
        <w:spacing w:after="0" w:line="304" w:lineRule="exact"/>
        <w:rPr>
          <w:sz w:val="24"/>
          <w:szCs w:val="24"/>
          <w:color w:val="auto"/>
        </w:rPr>
      </w:pPr>
    </w:p>
    <w:p>
      <w:pPr>
        <w:ind w:left="120" w:right="220"/>
        <w:spacing w:after="0" w:line="271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Langues 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Français (langue maternelle), Anglais (avancé, TOEFL iBT 87, Cambridge B2, Wall Street English C19), notions d’espagnol</w:t>
      </w:r>
    </w:p>
    <w:p>
      <w:pPr>
        <w:spacing w:after="0" w:line="1" w:lineRule="exact"/>
        <w:rPr>
          <w:sz w:val="24"/>
          <w:szCs w:val="24"/>
          <w:color w:val="auto"/>
        </w:rPr>
      </w:pPr>
    </w:p>
    <w:p>
      <w:pPr>
        <w:ind w:left="120" w:right="44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Maîtrise des logiciels :</w:t>
      </w:r>
      <w:r>
        <w:rPr>
          <w:rFonts w:ascii="Arial" w:cs="Arial" w:eastAsia="Arial" w:hAnsi="Arial"/>
          <w:sz w:val="20"/>
          <w:szCs w:val="20"/>
          <w:color w:val="auto"/>
        </w:rPr>
        <w:t xml:space="preserve"> LibreOffice Writer, LibreOffice Calc, Python, SQL/MySQL, HTML/CSS, réseaux et systèmes, diagnostic matériel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71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COMPÉTENCES TECHNIQUES (CYBERSÉCURITÉ)</w:t>
      </w:r>
    </w:p>
    <w:p>
      <w:pPr>
        <w:spacing w:after="0" w:line="151" w:lineRule="exact"/>
        <w:rPr>
          <w:sz w:val="24"/>
          <w:szCs w:val="24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Cryptographie : principes symétriques/asymétriques (AES/RSA), hachage, bases d’analyse de schémas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Sécurité Web : notions OWASP (XSS, injections, authentification/logique), analyse HTTP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Réseaux &amp; Forensique : TCP/IP, analyse PCAP (Wireshark), logs, DNS/HTTP, métadonnées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OSINT &amp; Stéganographie : techniques de recherche et extraction d’informations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Reverse engineering (bases) : compréhension binaire et raisonnement sur le flot d’exécution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Scripting &amp; Automatisation : Python/Bash pour l’outillage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1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Systèmes : Linux/Windows (gestion des utilisateurs/services), énumération et durcissement</w:t>
      </w: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2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EXPÉRIENCE DE TRAVAIL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6260" w:type="dxa"/>
            <w:vAlign w:val="bottom"/>
          </w:tcPr>
          <w:p>
            <w:pPr>
              <w:jc w:val="right"/>
              <w:ind w:right="3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  <w:w w:val="99"/>
              </w:rPr>
              <w:t>Gestion des finances / URSSAF</w:t>
            </w:r>
          </w:p>
        </w:tc>
        <w:tc>
          <w:tcPr>
            <w:tcW w:w="3720" w:type="dxa"/>
            <w:vAlign w:val="bottom"/>
          </w:tcPr>
          <w:p>
            <w:pPr>
              <w:jc w:val="right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2021</w:t>
            </w:r>
          </w:p>
        </w:tc>
      </w:tr>
      <w:tr>
        <w:trPr>
          <w:trHeight w:val="280"/>
        </w:trPr>
        <w:tc>
          <w:tcPr>
            <w:tcW w:w="6260" w:type="dxa"/>
            <w:vAlign w:val="bottom"/>
          </w:tcPr>
          <w:p>
            <w:pPr>
              <w:jc w:val="right"/>
              <w:ind w:right="31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Sultana Institut, Jonzac (France)</w:t>
            </w:r>
          </w:p>
        </w:tc>
        <w:tc>
          <w:tcPr>
            <w:tcW w:w="372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Suivi administratif et financier de l’institut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2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Gestion de documents comptables et déclaration URSSAF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tbl>
      <w:tblPr>
        <w:tblLayout w:type="fixed"/>
        <w:tblInd w:w="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36"/>
        </w:trPr>
        <w:tc>
          <w:tcPr>
            <w:tcW w:w="65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b w:val="1"/>
                <w:bCs w:val="1"/>
                <w:color w:val="auto"/>
              </w:rPr>
              <w:t>Délégué de classe / Administration</w:t>
            </w:r>
          </w:p>
        </w:tc>
        <w:tc>
          <w:tcPr>
            <w:tcW w:w="3480" w:type="dxa"/>
            <w:vAlign w:val="bottom"/>
          </w:tcPr>
          <w:p>
            <w:pPr>
              <w:ind w:left="24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  <w:w w:val="99"/>
              </w:rPr>
              <w:t>2019–2025</w:t>
            </w:r>
          </w:p>
        </w:tc>
      </w:tr>
      <w:tr>
        <w:trPr>
          <w:trHeight w:val="280"/>
        </w:trPr>
        <w:tc>
          <w:tcPr>
            <w:tcW w:w="6520" w:type="dxa"/>
            <w:vAlign w:val="bottom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0"/>
                <w:szCs w:val="20"/>
                <w:color w:val="auto"/>
              </w:rPr>
              <w:t>Collège Léopold Dussaigne, Jonzac (France)</w:t>
            </w:r>
          </w:p>
        </w:tc>
        <w:tc>
          <w:tcPr>
            <w:tcW w:w="34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30" w:lineRule="exact"/>
        <w:rPr>
          <w:sz w:val="24"/>
          <w:szCs w:val="24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Représentation des étudiants auprès de l’administration</w:t>
      </w:r>
    </w:p>
    <w:p>
      <w:pPr>
        <w:spacing w:after="0" w:line="30" w:lineRule="exact"/>
        <w:rPr>
          <w:rFonts w:ascii="Arial" w:cs="Arial" w:eastAsia="Arial" w:hAnsi="Arial"/>
          <w:sz w:val="20"/>
          <w:szCs w:val="20"/>
          <w:color w:val="auto"/>
        </w:rPr>
      </w:pPr>
    </w:p>
    <w:p>
      <w:pPr>
        <w:ind w:left="540" w:hanging="106"/>
        <w:spacing w:after="0"/>
        <w:tabs>
          <w:tab w:leader="none" w:pos="540" w:val="left"/>
        </w:tabs>
        <w:numPr>
          <w:ilvl w:val="0"/>
          <w:numId w:val="3"/>
        </w:numPr>
        <w:rPr>
          <w:rFonts w:ascii="Arial" w:cs="Arial" w:eastAsia="Arial" w:hAnsi="Arial"/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Organisation de réunions et communication entre professeurs et étudiants</w:t>
      </w:r>
    </w:p>
    <w:p>
      <w:pPr>
        <w:spacing w:after="0" w:line="38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FORMATION</w:t>
      </w:r>
    </w:p>
    <w:p>
      <w:pPr>
        <w:spacing w:after="0" w:line="145" w:lineRule="exact"/>
        <w:rPr>
          <w:sz w:val="24"/>
          <w:szCs w:val="24"/>
          <w:color w:val="auto"/>
        </w:rPr>
      </w:pPr>
    </w:p>
    <w:p>
      <w:pPr>
        <w:ind w:left="120" w:right="3480"/>
        <w:spacing w:after="0" w:line="277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 xml:space="preserve">Diplôme d’études collégiales (DEC) en Techniques de l’informatique </w:t>
      </w:r>
      <w:r>
        <w:rPr>
          <w:rFonts w:ascii="Arial" w:cs="Arial" w:eastAsia="Arial" w:hAnsi="Arial"/>
          <w:sz w:val="20"/>
          <w:szCs w:val="20"/>
          <w:color w:val="auto"/>
        </w:rPr>
        <w:t>Cégep de Rimouski, Québec – En cours de formation</w:t>
      </w:r>
    </w:p>
    <w:p>
      <w:pPr>
        <w:spacing w:after="0" w:line="69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Baccalauréat général – 2025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Spécialités : Numérique et Sciences Informatiques (NSI), Mathématiques – Option Mathématiques expertes</w:t>
      </w:r>
    </w:p>
    <w:p>
      <w:pPr>
        <w:spacing w:after="0" w:line="144" w:lineRule="exact"/>
        <w:rPr>
          <w:sz w:val="24"/>
          <w:szCs w:val="24"/>
          <w:color w:val="auto"/>
        </w:rPr>
      </w:pPr>
    </w:p>
    <w:p>
      <w:pPr>
        <w:ind w:left="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b w:val="1"/>
          <w:bCs w:val="1"/>
          <w:color w:val="auto"/>
        </w:rPr>
        <w:t>Diplômes complémentaires :</w:t>
      </w:r>
    </w:p>
    <w:p>
      <w:pPr>
        <w:spacing w:after="0" w:line="36" w:lineRule="exact"/>
        <w:rPr>
          <w:sz w:val="24"/>
          <w:szCs w:val="24"/>
          <w:color w:val="auto"/>
        </w:rPr>
      </w:pPr>
    </w:p>
    <w:p>
      <w:pPr>
        <w:ind w:left="120" w:right="20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TOEFL iBT (87, 2025) • Cambridge B2 (2021) • DNB avec mention (2022) • BIA (2023) • SNU (2024) • PPL en cours (2025) • NSL Camp (2018)</w:t>
      </w:r>
    </w:p>
    <w:p>
      <w:pPr>
        <w:sectPr>
          <w:pgSz w:w="12240" w:h="15840" w:orient="portrait"/>
          <w:cols w:equalWidth="0" w:num="1">
            <w:col w:w="9980"/>
          </w:cols>
          <w:pgMar w:left="1140" w:top="1266" w:right="1120" w:bottom="1440" w:gutter="0" w:footer="0" w:header="0"/>
        </w:sectPr>
      </w:pPr>
    </w:p>
    <w:bookmarkStart w:id="1" w:name="page2"/>
    <w:bookmarkEnd w:id="1"/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7412355</wp:posOffset>
                </wp:positionH>
                <wp:positionV relativeFrom="page">
                  <wp:posOffset>353060</wp:posOffset>
                </wp:positionV>
                <wp:extent cx="0" cy="9351645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5" o:spid="_x0000_s1030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583.65pt,27.8pt" to="583.65pt,764.1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359410</wp:posOffset>
                </wp:positionV>
                <wp:extent cx="7065645" cy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6" o:spid="_x0000_s1031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7.8pt,28.3pt" to="584.15pt,28.3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359410</wp:posOffset>
                </wp:positionH>
                <wp:positionV relativeFrom="page">
                  <wp:posOffset>353060</wp:posOffset>
                </wp:positionV>
                <wp:extent cx="0" cy="9351645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63" cy="9351645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7" o:spid="_x0000_s1032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8.3pt,27.8pt" to="28.3pt,764.15pt" o:allowincell="f" strokecolor="#000000" strokeweight="1pt">
                <w10:wrap anchorx="page" anchory="page"/>
              </v:line>
            </w:pict>
          </mc:Fallback>
        </mc:AlternateContent>
        <mc:AlternateContent>
          <mc:Choice Requires="wps">
            <w:drawing>
              <wp:anchor simplePos="0" relativeHeight="251657728" behindDoc="1" locked="0" layoutInCell="0" allowOverlap="1">
                <wp:simplePos x="0" y="0"/>
                <wp:positionH relativeFrom="page">
                  <wp:posOffset>353060</wp:posOffset>
                </wp:positionH>
                <wp:positionV relativeFrom="page">
                  <wp:posOffset>9698355</wp:posOffset>
                </wp:positionV>
                <wp:extent cx="7065645" cy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6564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127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 8" o:spid="_x0000_s1033" style="position:absolute;z-index:251657728;visibility:visible;mso-wrap-style:square;mso-wrap-distance-left:0pt;mso-wrap-distance-top:0;mso-wrap-distance-right:0pt;mso-wrap-distance-bottom:0;mso-position-horizontal:absolute;mso-position-horizontal-relative:page;mso-position-vertical:absolute;mso-position-vertical-relative:page;" from="27.8pt,763.65pt" to="584.15pt,763.65pt" o:allowincell="f" strokecolor="#000000" strokeweight="1pt">
                <w10:wrap anchorx="page" anchory="page"/>
              </v:line>
            </w:pict>
          </mc:Fallback>
        </mc:AlternateContent>
        <w:t>PERFECTIONNEMENT / RÉALISATIONS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ind w:right="260"/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Lauréat « Passe Ton Hack d’abord » (cybersécurité, Ministère de la Défense, France) – 1er départemental, régional et académique, 36e international (2025)</w:t>
      </w:r>
    </w:p>
    <w:p>
      <w:pPr>
        <w:spacing w:after="0" w:line="2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Vainqueur concours national de codage CodingUp – 1er niveaux lycée et licence 1–3 (2025)</w:t>
      </w:r>
    </w:p>
    <w:p>
      <w:pPr>
        <w:spacing w:after="0" w:line="30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Concours international de piano du Pays du Cognac – Mention Très Bien avec félicitations du jury (2019)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6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ACTIVITÉS BÉNÉVOLES ET INTÉRÊTS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spacing w:after="0" w:line="270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Karaté Goju-Ryu (ceinture noire) • Boxe thaïlandaise • Jujitsu brésilien (ceinture bleue, 1 barrette) • Aviation • Piano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8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2"/>
          <w:szCs w:val="22"/>
          <w:b w:val="1"/>
          <w:bCs w:val="1"/>
          <w:color w:val="auto"/>
        </w:rPr>
        <w:t>RÉFÉRENCES</w:t>
      </w:r>
    </w:p>
    <w:p>
      <w:pPr>
        <w:spacing w:after="0" w:line="151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0"/>
          <w:szCs w:val="20"/>
          <w:color w:val="auto"/>
        </w:rPr>
        <w:t>Il me fera plaisir de vous fournir des références sur demande.</w:t>
      </w:r>
    </w:p>
    <w:sectPr>
      <w:pgSz w:w="12240" w:h="15840" w:orient="portrait"/>
      <w:cols w:equalWidth="0" w:num="1">
        <w:col w:w="9580"/>
      </w:cols>
      <w:pgMar w:left="1260" w:top="1263" w:right="140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6334873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74B0DC51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19495CFF"/>
    <w:multiLevelType w:val="hybridMultilevel"/>
    <w:lvl w:ilvl="0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webSettings" Target="webSettings.xml"/><Relationship Id="rId11" Type="http://schemas.openxmlformats.org/officeDocument/2006/relationships/numbering" Target="numbering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2025-09-19T21:26:11Z</dcterms:created>
  <dcterms:modified xsi:type="dcterms:W3CDTF">2025-09-19T21:26:11Z</dcterms:modified>
</cp:coreProperties>
</file>