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A" w14:textId="076AB2BB" w:rsidR="0007392C" w:rsidRPr="00586A35" w:rsidRDefault="00D36DB6" w:rsidP="007A502C">
      <w:pPr>
        <w:pStyle w:val="Titledocument"/>
        <w:rPr>
          <w14:ligatures w14:val="standard"/>
        </w:rPr>
      </w:pPr>
      <w:r>
        <w:rPr>
          <w:bCs/>
          <w14:ligatures w14:val="standard"/>
        </w:rPr>
        <w:t>Obesity and Walkability in the United States</w:t>
      </w:r>
      <w:r w:rsidR="0089066F" w:rsidRPr="00586A35">
        <w:rPr>
          <w:bCs/>
          <w:vertAlign w:val="superscript"/>
          <w14:ligatures w14:val="standard"/>
        </w:rPr>
        <w:t>∗</w:t>
      </w:r>
    </w:p>
    <w:p w14:paraId="0ED5E1DC" w14:textId="77777777" w:rsidR="00586A35" w:rsidRPr="00586A35" w:rsidRDefault="00586A35" w:rsidP="00F3231F">
      <w:pPr>
        <w:pStyle w:val="Authors"/>
        <w:rPr>
          <w:rStyle w:val="FirstName"/>
          <w14:ligatures w14:val="standard"/>
        </w:rPr>
        <w:sectPr w:rsidR="00586A35" w:rsidRPr="00586A35" w:rsidSect="00586A35">
          <w:headerReference w:type="even" r:id="rId9"/>
          <w:footerReference w:type="even" r:id="rId10"/>
          <w:footerReference w:type="default" r:id="rId11"/>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1DE2ED83" w:rsidR="00586A35" w:rsidRPr="00586A35" w:rsidRDefault="00D36DB6" w:rsidP="00586A35">
      <w:pPr>
        <w:pStyle w:val="Authors"/>
        <w:jc w:val="center"/>
        <w:rPr>
          <w14:ligatures w14:val="standard"/>
        </w:rPr>
      </w:pPr>
      <w:r>
        <w:rPr>
          <w:rStyle w:val="FirstName"/>
          <w14:ligatures w14:val="standard"/>
        </w:rPr>
        <w:t>Cole Gaynor</w:t>
      </w:r>
      <w:r w:rsidR="00586A35" w:rsidRPr="00586A35">
        <w:rPr>
          <w:rStyle w:val="OrgName"/>
          <w:color w:val="auto"/>
          <w:sz w:val="20"/>
          <w14:ligatures w14:val="standard"/>
        </w:rPr>
        <w:br/>
        <w:t xml:space="preserve"> </w:t>
      </w:r>
      <w:r>
        <w:rPr>
          <w:rStyle w:val="OrgName"/>
          <w:color w:val="auto"/>
          <w:sz w:val="20"/>
          <w14:ligatures w14:val="standard"/>
        </w:rPr>
        <w:t>Wentworth Institute of Technology</w:t>
      </w:r>
      <w:r w:rsidR="00586A35" w:rsidRPr="00586A35">
        <w:rPr>
          <w:rStyle w:val="OrgName"/>
          <w:color w:val="auto"/>
          <w:sz w:val="20"/>
          <w14:ligatures w14:val="standard"/>
        </w:rPr>
        <w:br/>
        <w:t xml:space="preserve"> </w:t>
      </w:r>
      <w:r>
        <w:rPr>
          <w:rStyle w:val="City"/>
          <w:sz w:val="20"/>
          <w14:ligatures w14:val="standard"/>
        </w:rPr>
        <w:t>Boston, MA, USA</w:t>
      </w:r>
      <w:r w:rsidR="00586A35" w:rsidRPr="00586A35">
        <w:rPr>
          <w:sz w:val="20"/>
          <w14:ligatures w14:val="standard"/>
        </w:rPr>
        <w:br/>
        <w:t xml:space="preserve"> </w:t>
      </w:r>
      <w:hyperlink r:id="rId12" w:history="1">
        <w:r w:rsidRPr="008469F4">
          <w:rPr>
            <w:rStyle w:val="Hyperlink"/>
            <w14:ligatures w14:val="standard"/>
          </w:rPr>
          <w:t>gaynorc2@wit.edu</w:t>
        </w:r>
      </w:hyperlink>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0ED5E1E4" w14:textId="4E542AF3" w:rsidR="00DC112E" w:rsidRPr="00586A35" w:rsidRDefault="00D36DB6" w:rsidP="007A502C">
      <w:pPr>
        <w:pStyle w:val="Abstract"/>
        <w:rPr>
          <w:rFonts w:eastAsia="Verdana"/>
          <w14:ligatures w14:val="standard"/>
        </w:rPr>
      </w:pPr>
      <w:r>
        <w:rPr>
          <w:rFonts w:eastAsia="SimSun"/>
          <w:lang w:eastAsia="zh-CN"/>
          <w14:ligatures w14:val="standard"/>
        </w:rPr>
        <w:t xml:space="preserve">In this report, we analyze statistics surrounding obesity rates in the United States and walkability scores in the United States. We use a linear regression model to examine the potential correlation between walkability and obesity. </w:t>
      </w:r>
    </w:p>
    <w:p w14:paraId="0ED5E1E8"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Article Title Footnote needs to be captured as Title Note</w:t>
      </w:r>
    </w:p>
    <w:p w14:paraId="0ED5E1E9"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Author Footnote to be captured as Author Note</w:t>
      </w:r>
    </w:p>
    <w:p w14:paraId="0ED5E1EA"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0ED5E1E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0ED5E1EC"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0ED5E1E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518CD629" w:rsidR="0006026D" w:rsidRDefault="00D36DB6" w:rsidP="0006026D">
      <w:pPr>
        <w:pStyle w:val="KeyWords"/>
        <w:rPr>
          <w:rFonts w:eastAsia="SimSun"/>
          <w:lang w:eastAsia="zh-CN"/>
          <w14:ligatures w14:val="standard"/>
        </w:rPr>
      </w:pPr>
      <w:r>
        <w:rPr>
          <w:rFonts w:eastAsia="SimSun"/>
          <w:lang w:eastAsia="zh-CN"/>
          <w14:ligatures w14:val="standard"/>
        </w:rPr>
        <w:t>Walkability, obesity, public health</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675E4EF2" w14:textId="7C70BCD0" w:rsidR="00F241DF" w:rsidRPr="002163A5" w:rsidRDefault="00FC41AD" w:rsidP="002163A5">
      <w:pPr>
        <w:pStyle w:val="Para"/>
      </w:pPr>
      <w:r>
        <w:t>Obesity in the United States is an epidemic, with one of the highest rates in the world. Obesity is medically associated with a large number of comorbid diseases and health complications, often causing a decrease in quality of life and, on a material level, a greater strain on health services: the United States spends the most on healthcare per capita of any OECD nation. Additionally, the US is considered uniquely bad for pedestrian travel among developed nations. In this paper, we examine links within the context of the US connecting obesity rates to prevalence of pedestrian travel</w:t>
      </w:r>
      <w:r w:rsidR="00D36DB6">
        <w:t xml:space="preserve"> and walkability</w:t>
      </w:r>
      <w:r>
        <w:t xml:space="preserve"> to examine if efforts to promote pedestrian travel </w:t>
      </w:r>
      <w:r w:rsidR="00D36DB6">
        <w:t xml:space="preserve">and walkability </w:t>
      </w:r>
      <w:r>
        <w:t xml:space="preserve">have a positive effect on lowering obesity rates. </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1E2FBCB3" w14:textId="7803B05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31A7255C" w14:textId="75C1B2B9" w:rsidR="00FC41AD" w:rsidRDefault="00FC41AD" w:rsidP="002163A5">
      <w:pPr>
        <w:pStyle w:val="Para"/>
      </w:pPr>
      <w:r>
        <w:t xml:space="preserve">This project uses data covering walkability indices on a county level within the United States. It also contains data such as mean wage and other economic factors that can be controlled for so that variables are not identified as causal if </w:t>
      </w:r>
      <w:r w:rsidR="00FF0E49">
        <w:t>they</w:t>
      </w:r>
      <w:r>
        <w:t xml:space="preserve"> are both correlated to a third economic variable. This dataset was generated in 2025 and is taken from a United States .gov source, which is considered reliable. </w:t>
      </w:r>
    </w:p>
    <w:p w14:paraId="144ECDDF" w14:textId="106F9424" w:rsidR="00FC41AD" w:rsidRDefault="00FC41AD" w:rsidP="002163A5">
      <w:pPr>
        <w:pStyle w:val="Para"/>
      </w:pPr>
      <w:r>
        <w:t xml:space="preserve">Our other dataset covers </w:t>
      </w:r>
      <w:r w:rsidR="00D36DB6">
        <w:t>state-level</w:t>
      </w:r>
      <w:r>
        <w:t xml:space="preserve"> obesity rates. This dataset </w:t>
      </w:r>
      <w:r w:rsidR="00B3242F">
        <w:t xml:space="preserve">is from 2024 and is also from a United States .gov source. </w:t>
      </w:r>
    </w:p>
    <w:p w14:paraId="1CD6170B" w14:textId="3BD5B942"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758D1495" w14:textId="62C06D9E" w:rsidR="00FC41AD" w:rsidRDefault="00FC41AD" w:rsidP="002163A5">
      <w:pPr>
        <w:pStyle w:val="Para"/>
      </w:pPr>
      <w:r>
        <w:t xml:space="preserve">All datasets are available for analysis in csv format. </w:t>
      </w:r>
      <w:r w:rsidR="00B3242F">
        <w:t xml:space="preserve">Our data includes walkability scores as well as general economic metrics at a country level in addition to obesity levels by state. </w:t>
      </w:r>
    </w:p>
    <w:p w14:paraId="112365DB" w14:textId="06FFB109" w:rsidR="002163A5" w:rsidRPr="002163A5" w:rsidRDefault="002163A5" w:rsidP="002163A5">
      <w:pPr>
        <w:pStyle w:val="Head1"/>
        <w:spacing w:before="380"/>
        <w:rPr>
          <w:rStyle w:val="Label"/>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41F7379B" w14:textId="77777777" w:rsidR="000B1DCB" w:rsidRDefault="000B1DCB" w:rsidP="002163A5">
      <w:pPr>
        <w:pStyle w:val="Para"/>
      </w:pPr>
    </w:p>
    <w:p w14:paraId="033A5DF5" w14:textId="3E139A77" w:rsidR="00B3242F" w:rsidRDefault="00B3242F" w:rsidP="002163A5">
      <w:pPr>
        <w:pStyle w:val="Para"/>
      </w:pPr>
      <w:r>
        <w:t xml:space="preserve">This project uses a regression to analyze the correlation between variables related to walkability to predict obesity. We use a linear regression to make this estimation, because this is a simple model, and it seems unlikely that there would exist complex interactions that would necessitate a more complex model. </w:t>
      </w:r>
    </w:p>
    <w:p w14:paraId="1B58BE4C" w14:textId="3DF5E6DB" w:rsidR="00B3242F" w:rsidRDefault="00B3242F" w:rsidP="002163A5">
      <w:pPr>
        <w:pStyle w:val="Para"/>
      </w:pPr>
      <w:r>
        <w:t xml:space="preserve">We also analyze the distribution of analyzed statistics to identify outliers. </w:t>
      </w:r>
    </w:p>
    <w:p w14:paraId="1D763609" w14:textId="39C60047" w:rsidR="00D36DB6" w:rsidRDefault="00D36DB6" w:rsidP="002163A5">
      <w:pPr>
        <w:pStyle w:val="Para"/>
      </w:pPr>
      <w:r>
        <w:t xml:space="preserve">In order to get data into comparable formats for analysis, aggregation was performed from the level of Census regions into the state level, weighting averages appropriately from all rows of the data. </w:t>
      </w:r>
      <w:r w:rsidR="001010C0">
        <w:t xml:space="preserve">Per capita statistics were weighted with respect to region population, and per area statistics were weighted with respect to region area, </w:t>
      </w:r>
      <w:r w:rsidR="001010C0">
        <w:rPr>
          <w:i/>
          <w:iCs/>
        </w:rPr>
        <w:t>excluding area unavailable for development</w:t>
      </w:r>
      <w:r w:rsidR="001010C0">
        <w:t xml:space="preserve"> such as environmentally protected land. This is to give a better view of actually usable land and density in livable areas of states, rather than taking into account conservation land and areas that are categorically unavailable for development and letting that skew our view of what actually inhabited areas of each state look like. </w:t>
      </w:r>
    </w:p>
    <w:p w14:paraId="1EA58C67" w14:textId="08320BC9" w:rsidR="000D3B51" w:rsidRDefault="000D3B51" w:rsidP="002163A5">
      <w:pPr>
        <w:pStyle w:val="Para"/>
      </w:pPr>
      <w:r>
        <w:t xml:space="preserve">All instances with null values or unreported values, including values that are impossible, were dropped from this analysis. </w:t>
      </w:r>
    </w:p>
    <w:p w14:paraId="775AA3E5" w14:textId="77777777" w:rsidR="000D3B51" w:rsidRDefault="000D3B51" w:rsidP="002163A5">
      <w:pPr>
        <w:pStyle w:val="Para"/>
      </w:pPr>
    </w:p>
    <w:p w14:paraId="40012EC9" w14:textId="3550770A" w:rsidR="000D3B51" w:rsidRDefault="000D3B51" w:rsidP="002163A5">
      <w:pPr>
        <w:pStyle w:val="Para"/>
      </w:pPr>
      <w:r>
        <w:t xml:space="preserve">Our first question is to examine outliers in specific variables. For this, a threshold of 3 standard deviations away from the mean for all states was determined to be considered an outlier. </w:t>
      </w:r>
      <w:r w:rsidR="009757B5">
        <w:t xml:space="preserve">We analyze significant variables including: </w:t>
      </w:r>
    </w:p>
    <w:p w14:paraId="3B502579" w14:textId="78D66C51" w:rsidR="009757B5" w:rsidRDefault="009757B5" w:rsidP="009757B5">
      <w:pPr>
        <w:pStyle w:val="Para"/>
        <w:numPr>
          <w:ilvl w:val="0"/>
          <w:numId w:val="32"/>
        </w:numPr>
      </w:pPr>
      <w:r>
        <w:t>Percentage of households owning 0, 1, or 2+ cars</w:t>
      </w:r>
    </w:p>
    <w:p w14:paraId="70223A26" w14:textId="681F1BDA" w:rsidR="009757B5" w:rsidRDefault="009757B5" w:rsidP="009757B5">
      <w:pPr>
        <w:pStyle w:val="Para"/>
        <w:numPr>
          <w:ilvl w:val="0"/>
          <w:numId w:val="32"/>
        </w:numPr>
      </w:pPr>
      <w:r>
        <w:t>Percentage of population earning less than $1,250 per month, or $15,000 per year</w:t>
      </w:r>
    </w:p>
    <w:p w14:paraId="1BD58ABC" w14:textId="55F76E36" w:rsidR="009757B5" w:rsidRDefault="009757B5" w:rsidP="009757B5">
      <w:pPr>
        <w:pStyle w:val="Para"/>
        <w:numPr>
          <w:ilvl w:val="0"/>
          <w:numId w:val="32"/>
        </w:numPr>
      </w:pPr>
      <w:r>
        <w:t xml:space="preserve">Per-census area average distance of population centroid to </w:t>
      </w:r>
      <w:r w:rsidR="00AD39BA">
        <w:t xml:space="preserve">the </w:t>
      </w:r>
      <w:r>
        <w:t xml:space="preserve">nearest transit </w:t>
      </w:r>
      <w:r w:rsidR="00AD39BA">
        <w:t>stop, weighted by population of census area</w:t>
      </w:r>
    </w:p>
    <w:p w14:paraId="0F8D99C9" w14:textId="6C3E84DE" w:rsidR="00AD39BA" w:rsidRDefault="00AD39BA" w:rsidP="009757B5">
      <w:pPr>
        <w:pStyle w:val="Para"/>
        <w:numPr>
          <w:ilvl w:val="0"/>
          <w:numId w:val="32"/>
        </w:numPr>
      </w:pPr>
      <w:r>
        <w:t>Population density on unprotected land (people per acre)</w:t>
      </w:r>
    </w:p>
    <w:p w14:paraId="19810C63" w14:textId="30CC05A9" w:rsidR="00AD39BA" w:rsidRDefault="00AD39BA" w:rsidP="009757B5">
      <w:pPr>
        <w:pStyle w:val="Para"/>
        <w:numPr>
          <w:ilvl w:val="0"/>
          <w:numId w:val="32"/>
        </w:numPr>
      </w:pPr>
      <w:r>
        <w:t>Job density on unprotected land (jobs per acre)</w:t>
      </w:r>
    </w:p>
    <w:p w14:paraId="786D22A6" w14:textId="7F471180" w:rsidR="00AD39BA" w:rsidRDefault="00AD39BA" w:rsidP="009757B5">
      <w:pPr>
        <w:pStyle w:val="Para"/>
        <w:numPr>
          <w:ilvl w:val="0"/>
          <w:numId w:val="32"/>
        </w:numPr>
      </w:pPr>
      <w:r>
        <w:t>National Walkability Index score</w:t>
      </w:r>
    </w:p>
    <w:p w14:paraId="4FC9D3CC" w14:textId="442ABD8D" w:rsidR="00AD39BA" w:rsidRDefault="00AD39BA" w:rsidP="009757B5">
      <w:pPr>
        <w:pStyle w:val="Para"/>
        <w:numPr>
          <w:ilvl w:val="0"/>
          <w:numId w:val="32"/>
        </w:numPr>
      </w:pPr>
      <w:r>
        <w:t>Obesity rate in percentage</w:t>
      </w:r>
    </w:p>
    <w:p w14:paraId="39A0B031" w14:textId="4A19EC1D" w:rsidR="00AD39BA" w:rsidRDefault="00AD39BA" w:rsidP="002163A5">
      <w:pPr>
        <w:pStyle w:val="Para"/>
      </w:pPr>
      <w:r>
        <w:lastRenderedPageBreak/>
        <w:t xml:space="preserve">We then also analyze regional differences. We analyze the means and standard deviations of walkability and obesity in each region of the United States (Northeast, South, Midwest, and West) to examine regional trends. </w:t>
      </w:r>
    </w:p>
    <w:p w14:paraId="22DE169D" w14:textId="77777777" w:rsidR="00AD39BA" w:rsidRDefault="00AD39BA" w:rsidP="002163A5">
      <w:pPr>
        <w:pStyle w:val="Para"/>
      </w:pPr>
    </w:p>
    <w:p w14:paraId="57B2E245" w14:textId="64942862" w:rsidR="006C5CD3" w:rsidRDefault="00AD39BA" w:rsidP="002163A5">
      <w:pPr>
        <w:pStyle w:val="Para"/>
      </w:pPr>
      <w:r>
        <w:t xml:space="preserve">We also examine several regressions to decide their efficacy. </w:t>
      </w:r>
    </w:p>
    <w:p w14:paraId="6DBAD59E" w14:textId="2CD6113D" w:rsidR="00AD39BA" w:rsidRDefault="00AD39BA" w:rsidP="002163A5">
      <w:pPr>
        <w:pStyle w:val="Para"/>
      </w:pPr>
      <w:r>
        <w:t xml:space="preserve">First, we examine a regression of economic factors to predict walkability: can population density, job density, and percentage of population earning low wages predict the walkability score of a state? </w:t>
      </w:r>
    </w:p>
    <w:p w14:paraId="64623EC7" w14:textId="7DDDFF59" w:rsidR="00AD39BA" w:rsidRDefault="00AD39BA" w:rsidP="002163A5">
      <w:pPr>
        <w:pStyle w:val="Para"/>
      </w:pPr>
      <w:r>
        <w:t xml:space="preserve">We then examine a regression that attempts to predict obesity rates. For this, we include all variables analyzed in our earlier questions as inputs to the regression and attempt to predict obesity rates for a state. </w:t>
      </w:r>
      <w:r w:rsidR="00686509">
        <w:t xml:space="preserve">For this regression, we exclude our variables representing the percentage of population owning 1 car and the percentage of population owning 2 or more cars, as these are not independent from our variable representing the percentage of population owning no cars. </w:t>
      </w:r>
    </w:p>
    <w:p w14:paraId="71193461" w14:textId="283CD00A" w:rsidR="009C60FF" w:rsidRDefault="00AD39BA" w:rsidP="002163A5">
      <w:pPr>
        <w:pStyle w:val="Para"/>
      </w:pPr>
      <w:r>
        <w:t xml:space="preserve">All regressions will use Mean Squared Error as their loss function. Each model will use 30% of data for testing and 70% for training and will be trained using Sci-Kit-Learn. </w:t>
      </w:r>
      <w:r w:rsidR="00AD25F3">
        <w:t xml:space="preserve">The testing training split function will have a </w:t>
      </w:r>
      <w:proofErr w:type="spellStart"/>
      <w:r w:rsidR="00AD25F3">
        <w:t>random_state</w:t>
      </w:r>
      <w:proofErr w:type="spellEnd"/>
      <w:r w:rsidR="00AD25F3">
        <w:t xml:space="preserve"> parameter of 1. </w:t>
      </w:r>
      <w:r w:rsidR="002B2882">
        <w:t xml:space="preserve">All inputs were scaled using a </w:t>
      </w:r>
      <w:proofErr w:type="spellStart"/>
      <w:r w:rsidR="002B2882">
        <w:t>StandardScaler</w:t>
      </w:r>
      <w:proofErr w:type="spellEnd"/>
      <w:r w:rsidR="002B2882">
        <w:t xml:space="preserve"> from </w:t>
      </w:r>
      <w:proofErr w:type="spellStart"/>
      <w:r w:rsidR="002B2882">
        <w:t>SciKitLearn</w:t>
      </w:r>
      <w:proofErr w:type="spellEnd"/>
      <w:r w:rsidR="002B2882">
        <w:t xml:space="preserve"> prior to training. </w:t>
      </w:r>
    </w:p>
    <w:p w14:paraId="03005F60" w14:textId="233A5B93" w:rsidR="009C60FF" w:rsidRPr="002163A5" w:rsidRDefault="009C60FF" w:rsidP="00AD39BA">
      <w:pPr>
        <w:pStyle w:val="Head1"/>
        <w:spacing w:before="380"/>
        <w:ind w:left="0" w:firstLine="0"/>
        <w:rPr>
          <w:rStyle w:val="Label"/>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47DBECE8" w14:textId="57B559BE" w:rsidR="009757B5" w:rsidRDefault="009757B5" w:rsidP="00C34D70">
      <w:pPr>
        <w:pStyle w:val="Para"/>
      </w:pPr>
      <w:r>
        <w:t xml:space="preserve">Our first result is identification of outliers of significant variables. </w:t>
      </w:r>
    </w:p>
    <w:p w14:paraId="2762673A" w14:textId="1D535629" w:rsidR="00AD39BA" w:rsidRDefault="00AD39BA" w:rsidP="00C34D70">
      <w:pPr>
        <w:pStyle w:val="Para"/>
      </w:pPr>
      <w:r>
        <w:t xml:space="preserve">Results are presented in </w:t>
      </w:r>
      <w:r w:rsidR="00686509">
        <w:t>the below table:</w:t>
      </w:r>
    </w:p>
    <w:tbl>
      <w:tblPr>
        <w:tblStyle w:val="TableGrid"/>
        <w:tblW w:w="0" w:type="auto"/>
        <w:tblLook w:val="04A0" w:firstRow="1" w:lastRow="0" w:firstColumn="1" w:lastColumn="0" w:noHBand="0" w:noVBand="1"/>
      </w:tblPr>
      <w:tblGrid>
        <w:gridCol w:w="1751"/>
        <w:gridCol w:w="1792"/>
        <w:gridCol w:w="1473"/>
      </w:tblGrid>
      <w:tr w:rsidR="00AD39BA" w14:paraId="46D7CFEF" w14:textId="6E522DAA" w:rsidTr="00AD39BA">
        <w:tc>
          <w:tcPr>
            <w:tcW w:w="1751" w:type="dxa"/>
          </w:tcPr>
          <w:p w14:paraId="2F37695F" w14:textId="4C768481" w:rsidR="00AD39BA" w:rsidRDefault="00AD39BA" w:rsidP="00C34D70">
            <w:pPr>
              <w:pStyle w:val="Para"/>
            </w:pPr>
            <w:r>
              <w:t>Variable</w:t>
            </w:r>
          </w:p>
        </w:tc>
        <w:tc>
          <w:tcPr>
            <w:tcW w:w="1792" w:type="dxa"/>
          </w:tcPr>
          <w:p w14:paraId="7BD21E0D" w14:textId="6DDCFD96" w:rsidR="00AD39BA" w:rsidRDefault="00AD39BA" w:rsidP="00C34D70">
            <w:pPr>
              <w:pStyle w:val="Para"/>
            </w:pPr>
            <w:r>
              <w:t>Low Outliers</w:t>
            </w:r>
          </w:p>
        </w:tc>
        <w:tc>
          <w:tcPr>
            <w:tcW w:w="1473" w:type="dxa"/>
          </w:tcPr>
          <w:p w14:paraId="61AEBB95" w14:textId="31C68734" w:rsidR="00AD39BA" w:rsidRDefault="00AD39BA" w:rsidP="00C34D70">
            <w:pPr>
              <w:pStyle w:val="Para"/>
            </w:pPr>
            <w:r>
              <w:t>High Outliers</w:t>
            </w:r>
          </w:p>
        </w:tc>
      </w:tr>
      <w:tr w:rsidR="00AD39BA" w14:paraId="23B571CA" w14:textId="075F2178" w:rsidTr="00AD39BA">
        <w:tc>
          <w:tcPr>
            <w:tcW w:w="1751" w:type="dxa"/>
          </w:tcPr>
          <w:p w14:paraId="6050DD5D" w14:textId="0A1A82D0" w:rsidR="00AD39BA" w:rsidRDefault="00AD39BA" w:rsidP="00C34D70">
            <w:pPr>
              <w:pStyle w:val="Para"/>
            </w:pPr>
            <w:r>
              <w:t>Percent owning no cars</w:t>
            </w:r>
          </w:p>
        </w:tc>
        <w:tc>
          <w:tcPr>
            <w:tcW w:w="1792" w:type="dxa"/>
          </w:tcPr>
          <w:p w14:paraId="194914F3" w14:textId="02DC5BD5" w:rsidR="00AD39BA" w:rsidRDefault="00AD39BA" w:rsidP="00C34D70">
            <w:pPr>
              <w:pStyle w:val="Para"/>
            </w:pPr>
            <w:r>
              <w:t>District of Columbia</w:t>
            </w:r>
            <w:r w:rsidR="00A66145">
              <w:t>, New York</w:t>
            </w:r>
          </w:p>
        </w:tc>
        <w:tc>
          <w:tcPr>
            <w:tcW w:w="1473" w:type="dxa"/>
          </w:tcPr>
          <w:p w14:paraId="6793A001" w14:textId="75DCEB85" w:rsidR="00AD39BA" w:rsidRDefault="00AD39BA" w:rsidP="00C34D70">
            <w:pPr>
              <w:pStyle w:val="Para"/>
            </w:pPr>
            <w:r>
              <w:t>None</w:t>
            </w:r>
          </w:p>
        </w:tc>
      </w:tr>
      <w:tr w:rsidR="00AD39BA" w14:paraId="1CF4F7C4" w14:textId="256E3509" w:rsidTr="00AD39BA">
        <w:tc>
          <w:tcPr>
            <w:tcW w:w="1751" w:type="dxa"/>
          </w:tcPr>
          <w:p w14:paraId="02DB1F1D" w14:textId="1EDBF0ED" w:rsidR="00AD39BA" w:rsidRDefault="00AD39BA" w:rsidP="00C34D70">
            <w:pPr>
              <w:pStyle w:val="Para"/>
            </w:pPr>
            <w:r>
              <w:t>Percent owning 1 car</w:t>
            </w:r>
          </w:p>
        </w:tc>
        <w:tc>
          <w:tcPr>
            <w:tcW w:w="1792" w:type="dxa"/>
          </w:tcPr>
          <w:p w14:paraId="2B454F03" w14:textId="7B5EEBAE" w:rsidR="00AD39BA" w:rsidRDefault="00A66145" w:rsidP="00C34D70">
            <w:pPr>
              <w:pStyle w:val="Para"/>
            </w:pPr>
            <w:r>
              <w:t>None</w:t>
            </w:r>
          </w:p>
        </w:tc>
        <w:tc>
          <w:tcPr>
            <w:tcW w:w="1473" w:type="dxa"/>
          </w:tcPr>
          <w:p w14:paraId="0FF5589D" w14:textId="2767FFC2" w:rsidR="00AD39BA" w:rsidRDefault="00A66145" w:rsidP="00C34D70">
            <w:pPr>
              <w:pStyle w:val="Para"/>
            </w:pPr>
            <w:r>
              <w:t>West Virginia</w:t>
            </w:r>
          </w:p>
        </w:tc>
      </w:tr>
      <w:tr w:rsidR="00AD39BA" w14:paraId="3F0501A8" w14:textId="5255374E" w:rsidTr="00AD39BA">
        <w:tc>
          <w:tcPr>
            <w:tcW w:w="1751" w:type="dxa"/>
          </w:tcPr>
          <w:p w14:paraId="7CD1E43B" w14:textId="75487537" w:rsidR="00AD39BA" w:rsidRDefault="00A66145" w:rsidP="00C34D70">
            <w:pPr>
              <w:pStyle w:val="Para"/>
            </w:pPr>
            <w:r>
              <w:t>Percent owning 2+ cars</w:t>
            </w:r>
          </w:p>
        </w:tc>
        <w:tc>
          <w:tcPr>
            <w:tcW w:w="1792" w:type="dxa"/>
          </w:tcPr>
          <w:p w14:paraId="1B2D96F5" w14:textId="043AEED1" w:rsidR="00AD39BA" w:rsidRDefault="00A66145" w:rsidP="00C34D70">
            <w:pPr>
              <w:pStyle w:val="Para"/>
            </w:pPr>
            <w:r>
              <w:t>District of Columbia</w:t>
            </w:r>
          </w:p>
        </w:tc>
        <w:tc>
          <w:tcPr>
            <w:tcW w:w="1473" w:type="dxa"/>
          </w:tcPr>
          <w:p w14:paraId="2A3794FD" w14:textId="1537C183" w:rsidR="00AD39BA" w:rsidRDefault="00A66145" w:rsidP="00C34D70">
            <w:pPr>
              <w:pStyle w:val="Para"/>
            </w:pPr>
            <w:r>
              <w:t>None</w:t>
            </w:r>
          </w:p>
        </w:tc>
      </w:tr>
      <w:tr w:rsidR="00AD39BA" w14:paraId="1C702222" w14:textId="315B65BC" w:rsidTr="00AD39BA">
        <w:tc>
          <w:tcPr>
            <w:tcW w:w="1751" w:type="dxa"/>
          </w:tcPr>
          <w:p w14:paraId="3E1D5CE7" w14:textId="13181C57" w:rsidR="00AD39BA" w:rsidRDefault="00A66145" w:rsidP="00C34D70">
            <w:pPr>
              <w:pStyle w:val="Para"/>
            </w:pPr>
            <w:r>
              <w:t>Low wage earners</w:t>
            </w:r>
          </w:p>
        </w:tc>
        <w:tc>
          <w:tcPr>
            <w:tcW w:w="1792" w:type="dxa"/>
          </w:tcPr>
          <w:p w14:paraId="0781DFB7" w14:textId="4891401F" w:rsidR="00AD39BA" w:rsidRDefault="00A66145" w:rsidP="00C34D70">
            <w:pPr>
              <w:pStyle w:val="Para"/>
            </w:pPr>
            <w:r>
              <w:t>None</w:t>
            </w:r>
          </w:p>
        </w:tc>
        <w:tc>
          <w:tcPr>
            <w:tcW w:w="1473" w:type="dxa"/>
          </w:tcPr>
          <w:p w14:paraId="1A5A9D23" w14:textId="151EDF70" w:rsidR="00AD39BA" w:rsidRDefault="00A66145" w:rsidP="00C34D70">
            <w:pPr>
              <w:pStyle w:val="Para"/>
            </w:pPr>
            <w:r>
              <w:t>Mississippi</w:t>
            </w:r>
          </w:p>
        </w:tc>
      </w:tr>
      <w:tr w:rsidR="00AD39BA" w14:paraId="2754E028" w14:textId="214B1844" w:rsidTr="00AD39BA">
        <w:tc>
          <w:tcPr>
            <w:tcW w:w="1751" w:type="dxa"/>
          </w:tcPr>
          <w:p w14:paraId="14DA441A" w14:textId="751ACD35" w:rsidR="00AD39BA" w:rsidRDefault="00A66145" w:rsidP="00C34D70">
            <w:pPr>
              <w:pStyle w:val="Para"/>
            </w:pPr>
            <w:r>
              <w:t>Centroid distance from nearest transit</w:t>
            </w:r>
          </w:p>
        </w:tc>
        <w:tc>
          <w:tcPr>
            <w:tcW w:w="1792" w:type="dxa"/>
          </w:tcPr>
          <w:p w14:paraId="14735371" w14:textId="1FD6EF85" w:rsidR="00AD39BA" w:rsidRDefault="00A66145" w:rsidP="00C34D70">
            <w:pPr>
              <w:pStyle w:val="Para"/>
            </w:pPr>
            <w:r>
              <w:t>West Virginia</w:t>
            </w:r>
          </w:p>
        </w:tc>
        <w:tc>
          <w:tcPr>
            <w:tcW w:w="1473" w:type="dxa"/>
          </w:tcPr>
          <w:p w14:paraId="58EEA64B" w14:textId="00007243" w:rsidR="00AD39BA" w:rsidRDefault="00A66145" w:rsidP="00C34D70">
            <w:pPr>
              <w:pStyle w:val="Para"/>
            </w:pPr>
            <w:r>
              <w:t>None</w:t>
            </w:r>
          </w:p>
        </w:tc>
      </w:tr>
      <w:tr w:rsidR="00A66145" w14:paraId="307E9217" w14:textId="77777777" w:rsidTr="00AD39BA">
        <w:tc>
          <w:tcPr>
            <w:tcW w:w="1751" w:type="dxa"/>
          </w:tcPr>
          <w:p w14:paraId="33F599BA" w14:textId="6B302252" w:rsidR="00A66145" w:rsidRDefault="00A66145" w:rsidP="00C34D70">
            <w:pPr>
              <w:pStyle w:val="Para"/>
            </w:pPr>
            <w:r>
              <w:t>Population density</w:t>
            </w:r>
          </w:p>
        </w:tc>
        <w:tc>
          <w:tcPr>
            <w:tcW w:w="1792" w:type="dxa"/>
          </w:tcPr>
          <w:p w14:paraId="70173B60" w14:textId="29E20DCC" w:rsidR="00A66145" w:rsidRDefault="00A66145" w:rsidP="00C34D70">
            <w:pPr>
              <w:pStyle w:val="Para"/>
            </w:pPr>
            <w:r>
              <w:t>None</w:t>
            </w:r>
          </w:p>
        </w:tc>
        <w:tc>
          <w:tcPr>
            <w:tcW w:w="1473" w:type="dxa"/>
          </w:tcPr>
          <w:p w14:paraId="464DC4AA" w14:textId="7AA48D50" w:rsidR="00A66145" w:rsidRDefault="00A66145" w:rsidP="00C34D70">
            <w:pPr>
              <w:pStyle w:val="Para"/>
            </w:pPr>
            <w:r>
              <w:t>District of Columbia</w:t>
            </w:r>
          </w:p>
        </w:tc>
      </w:tr>
      <w:tr w:rsidR="00A66145" w14:paraId="07CA7908" w14:textId="77777777" w:rsidTr="00AD39BA">
        <w:tc>
          <w:tcPr>
            <w:tcW w:w="1751" w:type="dxa"/>
          </w:tcPr>
          <w:p w14:paraId="6AABBFAE" w14:textId="554CC2C0" w:rsidR="00A66145" w:rsidRDefault="00A66145" w:rsidP="00C34D70">
            <w:pPr>
              <w:pStyle w:val="Para"/>
            </w:pPr>
            <w:r>
              <w:t>Job density</w:t>
            </w:r>
          </w:p>
        </w:tc>
        <w:tc>
          <w:tcPr>
            <w:tcW w:w="1792" w:type="dxa"/>
          </w:tcPr>
          <w:p w14:paraId="59E56554" w14:textId="53A88353" w:rsidR="00A66145" w:rsidRDefault="00A66145" w:rsidP="00C34D70">
            <w:pPr>
              <w:pStyle w:val="Para"/>
            </w:pPr>
            <w:r>
              <w:t>New Hampshire</w:t>
            </w:r>
          </w:p>
        </w:tc>
        <w:tc>
          <w:tcPr>
            <w:tcW w:w="1473" w:type="dxa"/>
          </w:tcPr>
          <w:p w14:paraId="506D2FAA" w14:textId="6721A065" w:rsidR="00A66145" w:rsidRDefault="00A66145" w:rsidP="00C34D70">
            <w:pPr>
              <w:pStyle w:val="Para"/>
            </w:pPr>
            <w:r>
              <w:t>District of Columbia</w:t>
            </w:r>
          </w:p>
        </w:tc>
      </w:tr>
      <w:tr w:rsidR="00A66145" w14:paraId="2656C6DE" w14:textId="77777777" w:rsidTr="00AD39BA">
        <w:tc>
          <w:tcPr>
            <w:tcW w:w="1751" w:type="dxa"/>
          </w:tcPr>
          <w:p w14:paraId="10765845" w14:textId="68B9D16D" w:rsidR="00A66145" w:rsidRDefault="00A66145" w:rsidP="00C34D70">
            <w:pPr>
              <w:pStyle w:val="Para"/>
            </w:pPr>
            <w:r>
              <w:t>Obesity rate</w:t>
            </w:r>
          </w:p>
        </w:tc>
        <w:tc>
          <w:tcPr>
            <w:tcW w:w="1792" w:type="dxa"/>
          </w:tcPr>
          <w:p w14:paraId="27251893" w14:textId="351A256C" w:rsidR="00A66145" w:rsidRDefault="00A66145" w:rsidP="00C34D70">
            <w:pPr>
              <w:pStyle w:val="Para"/>
            </w:pPr>
            <w:r>
              <w:t>None</w:t>
            </w:r>
          </w:p>
        </w:tc>
        <w:tc>
          <w:tcPr>
            <w:tcW w:w="1473" w:type="dxa"/>
          </w:tcPr>
          <w:p w14:paraId="552C7A25" w14:textId="690406E9" w:rsidR="00A66145" w:rsidRDefault="00A66145" w:rsidP="00C34D70">
            <w:pPr>
              <w:pStyle w:val="Para"/>
            </w:pPr>
            <w:r>
              <w:t>None</w:t>
            </w:r>
          </w:p>
        </w:tc>
      </w:tr>
    </w:tbl>
    <w:p w14:paraId="2058B77E" w14:textId="61843141" w:rsidR="00AD39BA" w:rsidRDefault="00AD39BA" w:rsidP="00C34D70">
      <w:pPr>
        <w:pStyle w:val="Para"/>
      </w:pPr>
    </w:p>
    <w:p w14:paraId="6B2178C4" w14:textId="40A60456" w:rsidR="009757B5" w:rsidRDefault="00A66145" w:rsidP="00C34D70">
      <w:pPr>
        <w:pStyle w:val="Para"/>
      </w:pPr>
      <w:r>
        <w:t xml:space="preserve">Notably, obesity has no outliers, while the District of Colombia appears very often on lists of outliers. This is sensible, as the District of Columbia has a very different demographic makeup than any other state; it is almost entirely urban with no rural or even suburban population. </w:t>
      </w:r>
    </w:p>
    <w:p w14:paraId="02907340" w14:textId="77777777" w:rsidR="00753A71" w:rsidRDefault="00753A71" w:rsidP="00C34D70">
      <w:pPr>
        <w:pStyle w:val="Para"/>
      </w:pPr>
    </w:p>
    <w:p w14:paraId="35023018" w14:textId="23A56B71" w:rsidR="00753A71" w:rsidRDefault="00121F99" w:rsidP="00C34D70">
      <w:pPr>
        <w:pStyle w:val="Para"/>
      </w:pPr>
      <w:r>
        <w:t>Next,</w:t>
      </w:r>
      <w:r w:rsidR="00753A71">
        <w:t xml:space="preserve"> we examine regional differences in means: </w:t>
      </w:r>
    </w:p>
    <w:tbl>
      <w:tblPr>
        <w:tblStyle w:val="TableGrid"/>
        <w:tblW w:w="0" w:type="auto"/>
        <w:tblLook w:val="04A0" w:firstRow="1" w:lastRow="0" w:firstColumn="1" w:lastColumn="0" w:noHBand="0" w:noVBand="1"/>
      </w:tblPr>
      <w:tblGrid>
        <w:gridCol w:w="916"/>
        <w:gridCol w:w="846"/>
        <w:gridCol w:w="756"/>
        <w:gridCol w:w="776"/>
        <w:gridCol w:w="776"/>
        <w:gridCol w:w="776"/>
      </w:tblGrid>
      <w:tr w:rsidR="00753A71" w14:paraId="79E39645" w14:textId="2ECC1B2B" w:rsidTr="00753A71">
        <w:tc>
          <w:tcPr>
            <w:tcW w:w="736" w:type="dxa"/>
          </w:tcPr>
          <w:p w14:paraId="36B94A60" w14:textId="309C7D9A" w:rsidR="00753A71" w:rsidRDefault="00753A71" w:rsidP="00C34D70">
            <w:pPr>
              <w:pStyle w:val="Para"/>
            </w:pPr>
            <w:r>
              <w:t>Region</w:t>
            </w:r>
          </w:p>
        </w:tc>
        <w:tc>
          <w:tcPr>
            <w:tcW w:w="756" w:type="dxa"/>
          </w:tcPr>
          <w:p w14:paraId="07DCF453" w14:textId="45074DB6" w:rsidR="00753A71" w:rsidRDefault="00753A71" w:rsidP="00C34D70">
            <w:pPr>
              <w:pStyle w:val="Para"/>
            </w:pPr>
            <w:r>
              <w:t>Percent no cars</w:t>
            </w:r>
          </w:p>
        </w:tc>
        <w:tc>
          <w:tcPr>
            <w:tcW w:w="756" w:type="dxa"/>
          </w:tcPr>
          <w:p w14:paraId="4295C741" w14:textId="5E4FDB05" w:rsidR="00753A71" w:rsidRDefault="00753A71" w:rsidP="00C34D70">
            <w:pPr>
              <w:pStyle w:val="Para"/>
            </w:pPr>
            <w:r>
              <w:t>Percent 1 car</w:t>
            </w:r>
          </w:p>
        </w:tc>
        <w:tc>
          <w:tcPr>
            <w:tcW w:w="756" w:type="dxa"/>
          </w:tcPr>
          <w:p w14:paraId="0709DDD0" w14:textId="2B754237" w:rsidR="00753A71" w:rsidRDefault="00753A71" w:rsidP="00C34D70">
            <w:pPr>
              <w:pStyle w:val="Para"/>
            </w:pPr>
            <w:r>
              <w:t>Percent 2+ cars</w:t>
            </w:r>
          </w:p>
        </w:tc>
        <w:tc>
          <w:tcPr>
            <w:tcW w:w="596" w:type="dxa"/>
          </w:tcPr>
          <w:p w14:paraId="208F15D5" w14:textId="55D5FFC7" w:rsidR="00753A71" w:rsidRDefault="00753A71" w:rsidP="00C34D70">
            <w:pPr>
              <w:pStyle w:val="Para"/>
            </w:pPr>
            <w:r>
              <w:t>Low wage</w:t>
            </w:r>
          </w:p>
        </w:tc>
        <w:tc>
          <w:tcPr>
            <w:tcW w:w="776" w:type="dxa"/>
          </w:tcPr>
          <w:p w14:paraId="2C4558BB" w14:textId="1AC0D99E" w:rsidR="00753A71" w:rsidRDefault="00753A71" w:rsidP="00C34D70">
            <w:pPr>
              <w:pStyle w:val="Para"/>
            </w:pPr>
          </w:p>
        </w:tc>
      </w:tr>
      <w:tr w:rsidR="00753A71" w14:paraId="4D654E76" w14:textId="77777777" w:rsidTr="00753A71">
        <w:tc>
          <w:tcPr>
            <w:tcW w:w="736" w:type="dxa"/>
          </w:tcPr>
          <w:p w14:paraId="642C77AE" w14:textId="6853FFC0" w:rsidR="00753A71" w:rsidRDefault="00753A71" w:rsidP="00C34D70">
            <w:pPr>
              <w:pStyle w:val="Para"/>
            </w:pPr>
            <w:r>
              <w:t>North</w:t>
            </w:r>
            <w:r w:rsidR="00121F99">
              <w:t>east</w:t>
            </w:r>
          </w:p>
        </w:tc>
        <w:tc>
          <w:tcPr>
            <w:tcW w:w="756" w:type="dxa"/>
          </w:tcPr>
          <w:p w14:paraId="18F83D68" w14:textId="31AD1B70" w:rsidR="00753A71" w:rsidRDefault="00753A71" w:rsidP="00C34D70">
            <w:pPr>
              <w:pStyle w:val="Para"/>
            </w:pPr>
            <w:r>
              <w:t>17.04</w:t>
            </w:r>
          </w:p>
        </w:tc>
        <w:tc>
          <w:tcPr>
            <w:tcW w:w="756" w:type="dxa"/>
          </w:tcPr>
          <w:p w14:paraId="0658878A" w14:textId="3D168645" w:rsidR="00753A71" w:rsidRDefault="00753A71" w:rsidP="00C34D70">
            <w:pPr>
              <w:pStyle w:val="Para"/>
            </w:pPr>
            <w:r>
              <w:t>38.60</w:t>
            </w:r>
          </w:p>
        </w:tc>
        <w:tc>
          <w:tcPr>
            <w:tcW w:w="756" w:type="dxa"/>
          </w:tcPr>
          <w:p w14:paraId="0D547AEC" w14:textId="3A576890" w:rsidR="00753A71" w:rsidRDefault="00753A71" w:rsidP="00C34D70">
            <w:pPr>
              <w:pStyle w:val="Para"/>
            </w:pPr>
            <w:r>
              <w:t>44.19</w:t>
            </w:r>
          </w:p>
        </w:tc>
        <w:tc>
          <w:tcPr>
            <w:tcW w:w="596" w:type="dxa"/>
          </w:tcPr>
          <w:p w14:paraId="7CFC75A4" w14:textId="1D4EAE8D" w:rsidR="00753A71" w:rsidRDefault="00753A71" w:rsidP="00C34D70">
            <w:pPr>
              <w:pStyle w:val="Para"/>
            </w:pPr>
            <w:r>
              <w:t>23.15</w:t>
            </w:r>
          </w:p>
        </w:tc>
        <w:tc>
          <w:tcPr>
            <w:tcW w:w="776" w:type="dxa"/>
          </w:tcPr>
          <w:p w14:paraId="7C3A0079" w14:textId="25D4DB7B" w:rsidR="00753A71" w:rsidRDefault="00753A71" w:rsidP="00C34D70">
            <w:pPr>
              <w:pStyle w:val="Para"/>
            </w:pPr>
          </w:p>
        </w:tc>
      </w:tr>
      <w:tr w:rsidR="00753A71" w14:paraId="6537FA22" w14:textId="5DAD1DFE" w:rsidTr="00753A71">
        <w:tc>
          <w:tcPr>
            <w:tcW w:w="736" w:type="dxa"/>
          </w:tcPr>
          <w:p w14:paraId="7793A9D7" w14:textId="7BE4DD03" w:rsidR="00753A71" w:rsidRDefault="00753A71" w:rsidP="00C34D70">
            <w:pPr>
              <w:pStyle w:val="Para"/>
            </w:pPr>
            <w:r>
              <w:t>South</w:t>
            </w:r>
          </w:p>
        </w:tc>
        <w:tc>
          <w:tcPr>
            <w:tcW w:w="756" w:type="dxa"/>
          </w:tcPr>
          <w:p w14:paraId="2B08BBDF" w14:textId="24693243" w:rsidR="00753A71" w:rsidRDefault="00753A71" w:rsidP="00C34D70">
            <w:pPr>
              <w:pStyle w:val="Para"/>
            </w:pPr>
            <w:r>
              <w:t>11.58</w:t>
            </w:r>
          </w:p>
        </w:tc>
        <w:tc>
          <w:tcPr>
            <w:tcW w:w="756" w:type="dxa"/>
          </w:tcPr>
          <w:p w14:paraId="091C1595" w14:textId="3B2A8491" w:rsidR="00753A71" w:rsidRDefault="00753A71" w:rsidP="00C34D70">
            <w:pPr>
              <w:pStyle w:val="Para"/>
            </w:pPr>
            <w:r>
              <w:t>41.65</w:t>
            </w:r>
          </w:p>
        </w:tc>
        <w:tc>
          <w:tcPr>
            <w:tcW w:w="756" w:type="dxa"/>
          </w:tcPr>
          <w:p w14:paraId="1574B81E" w14:textId="265448F5" w:rsidR="00753A71" w:rsidRDefault="00753A71" w:rsidP="00C34D70">
            <w:pPr>
              <w:pStyle w:val="Para"/>
            </w:pPr>
            <w:r>
              <w:t>46.24</w:t>
            </w:r>
          </w:p>
        </w:tc>
        <w:tc>
          <w:tcPr>
            <w:tcW w:w="596" w:type="dxa"/>
          </w:tcPr>
          <w:p w14:paraId="39C81936" w14:textId="05C8A36D" w:rsidR="00753A71" w:rsidRDefault="00753A71" w:rsidP="00C34D70">
            <w:pPr>
              <w:pStyle w:val="Para"/>
            </w:pPr>
            <w:r>
              <w:t>25.46</w:t>
            </w:r>
          </w:p>
        </w:tc>
        <w:tc>
          <w:tcPr>
            <w:tcW w:w="776" w:type="dxa"/>
          </w:tcPr>
          <w:p w14:paraId="4C7BFCF1" w14:textId="77777777" w:rsidR="00753A71" w:rsidRDefault="00753A71" w:rsidP="00C34D70">
            <w:pPr>
              <w:pStyle w:val="Para"/>
            </w:pPr>
          </w:p>
        </w:tc>
      </w:tr>
      <w:tr w:rsidR="00753A71" w14:paraId="1B781460" w14:textId="0A19ABC7" w:rsidTr="00753A71">
        <w:tc>
          <w:tcPr>
            <w:tcW w:w="736" w:type="dxa"/>
          </w:tcPr>
          <w:p w14:paraId="2CECC412" w14:textId="0C031306" w:rsidR="00753A71" w:rsidRDefault="00753A71" w:rsidP="00C34D70">
            <w:pPr>
              <w:pStyle w:val="Para"/>
            </w:pPr>
            <w:r>
              <w:t>Midwest</w:t>
            </w:r>
          </w:p>
        </w:tc>
        <w:tc>
          <w:tcPr>
            <w:tcW w:w="756" w:type="dxa"/>
          </w:tcPr>
          <w:p w14:paraId="2F83CF5B" w14:textId="6D619759" w:rsidR="00753A71" w:rsidRDefault="00753A71" w:rsidP="00C34D70">
            <w:pPr>
              <w:pStyle w:val="Para"/>
            </w:pPr>
            <w:r>
              <w:t>10.63</w:t>
            </w:r>
          </w:p>
        </w:tc>
        <w:tc>
          <w:tcPr>
            <w:tcW w:w="756" w:type="dxa"/>
          </w:tcPr>
          <w:p w14:paraId="6EB6AA33" w14:textId="63F6953F" w:rsidR="00753A71" w:rsidRDefault="00753A71" w:rsidP="00C34D70">
            <w:pPr>
              <w:pStyle w:val="Para"/>
            </w:pPr>
            <w:r>
              <w:t>38.47</w:t>
            </w:r>
          </w:p>
        </w:tc>
        <w:tc>
          <w:tcPr>
            <w:tcW w:w="756" w:type="dxa"/>
          </w:tcPr>
          <w:p w14:paraId="70AC660D" w14:textId="7D3C1590" w:rsidR="00753A71" w:rsidRDefault="00753A71" w:rsidP="00C34D70">
            <w:pPr>
              <w:pStyle w:val="Para"/>
            </w:pPr>
            <w:r>
              <w:t>50.64</w:t>
            </w:r>
          </w:p>
        </w:tc>
        <w:tc>
          <w:tcPr>
            <w:tcW w:w="596" w:type="dxa"/>
          </w:tcPr>
          <w:p w14:paraId="20D406EC" w14:textId="2071152F" w:rsidR="00753A71" w:rsidRDefault="00753A71" w:rsidP="00C34D70">
            <w:pPr>
              <w:pStyle w:val="Para"/>
            </w:pPr>
            <w:r>
              <w:t>25.48</w:t>
            </w:r>
          </w:p>
        </w:tc>
        <w:tc>
          <w:tcPr>
            <w:tcW w:w="776" w:type="dxa"/>
          </w:tcPr>
          <w:p w14:paraId="011A4B81" w14:textId="77777777" w:rsidR="00753A71" w:rsidRDefault="00753A71" w:rsidP="00C34D70">
            <w:pPr>
              <w:pStyle w:val="Para"/>
            </w:pPr>
          </w:p>
        </w:tc>
      </w:tr>
      <w:tr w:rsidR="00753A71" w14:paraId="4715B42E" w14:textId="427E4BAF" w:rsidTr="00753A71">
        <w:tc>
          <w:tcPr>
            <w:tcW w:w="736" w:type="dxa"/>
          </w:tcPr>
          <w:p w14:paraId="0B1232B6" w14:textId="15DAF9FB" w:rsidR="00753A71" w:rsidRDefault="00753A71" w:rsidP="00C34D70">
            <w:pPr>
              <w:pStyle w:val="Para"/>
            </w:pPr>
            <w:r>
              <w:t>West</w:t>
            </w:r>
          </w:p>
        </w:tc>
        <w:tc>
          <w:tcPr>
            <w:tcW w:w="756" w:type="dxa"/>
          </w:tcPr>
          <w:p w14:paraId="68B26896" w14:textId="384BA289" w:rsidR="00753A71" w:rsidRDefault="00753A71" w:rsidP="00C34D70">
            <w:pPr>
              <w:pStyle w:val="Para"/>
            </w:pPr>
            <w:r>
              <w:t>7.36</w:t>
            </w:r>
          </w:p>
        </w:tc>
        <w:tc>
          <w:tcPr>
            <w:tcW w:w="756" w:type="dxa"/>
          </w:tcPr>
          <w:p w14:paraId="1F6327CC" w14:textId="6D3EAFDB" w:rsidR="00753A71" w:rsidRDefault="00753A71" w:rsidP="00C34D70">
            <w:pPr>
              <w:pStyle w:val="Para"/>
            </w:pPr>
            <w:r>
              <w:t>34.25</w:t>
            </w:r>
          </w:p>
        </w:tc>
        <w:tc>
          <w:tcPr>
            <w:tcW w:w="756" w:type="dxa"/>
          </w:tcPr>
          <w:p w14:paraId="39FA86C4" w14:textId="505AFD31" w:rsidR="00753A71" w:rsidRDefault="00753A71" w:rsidP="00C34D70">
            <w:pPr>
              <w:pStyle w:val="Para"/>
            </w:pPr>
            <w:r>
              <w:t>58.28</w:t>
            </w:r>
          </w:p>
        </w:tc>
        <w:tc>
          <w:tcPr>
            <w:tcW w:w="596" w:type="dxa"/>
          </w:tcPr>
          <w:p w14:paraId="5B10D5E2" w14:textId="2C7D4C2C" w:rsidR="00753A71" w:rsidRDefault="00753A71" w:rsidP="00C34D70">
            <w:pPr>
              <w:pStyle w:val="Para"/>
            </w:pPr>
            <w:r>
              <w:t>22.51</w:t>
            </w:r>
          </w:p>
        </w:tc>
        <w:tc>
          <w:tcPr>
            <w:tcW w:w="776" w:type="dxa"/>
          </w:tcPr>
          <w:p w14:paraId="2FEA2049" w14:textId="77777777" w:rsidR="00753A71" w:rsidRDefault="00753A71" w:rsidP="00C34D70">
            <w:pPr>
              <w:pStyle w:val="Para"/>
            </w:pPr>
          </w:p>
        </w:tc>
      </w:tr>
      <w:tr w:rsidR="00753A71" w14:paraId="7C68A60B" w14:textId="77777777" w:rsidTr="00753A71">
        <w:tc>
          <w:tcPr>
            <w:tcW w:w="736" w:type="dxa"/>
          </w:tcPr>
          <w:p w14:paraId="17AB094B" w14:textId="7F290D09" w:rsidR="00753A71" w:rsidRDefault="00753A71" w:rsidP="00C34D70">
            <w:pPr>
              <w:pStyle w:val="Para"/>
            </w:pPr>
            <w:r>
              <w:t>Region</w:t>
            </w:r>
          </w:p>
        </w:tc>
        <w:tc>
          <w:tcPr>
            <w:tcW w:w="756" w:type="dxa"/>
          </w:tcPr>
          <w:p w14:paraId="550402B9" w14:textId="77777777" w:rsidR="00753A71" w:rsidRDefault="00753A71" w:rsidP="00C34D70">
            <w:pPr>
              <w:pStyle w:val="Para"/>
            </w:pPr>
            <w:r>
              <w:t>Transit</w:t>
            </w:r>
          </w:p>
          <w:p w14:paraId="179036D9" w14:textId="51485881" w:rsidR="00753A71" w:rsidRDefault="00753A71" w:rsidP="00C34D70">
            <w:pPr>
              <w:pStyle w:val="Para"/>
            </w:pPr>
            <w:r>
              <w:t>Distance (m)</w:t>
            </w:r>
          </w:p>
        </w:tc>
        <w:tc>
          <w:tcPr>
            <w:tcW w:w="756" w:type="dxa"/>
          </w:tcPr>
          <w:p w14:paraId="767BB838" w14:textId="77777777" w:rsidR="00753A71" w:rsidRDefault="00753A71" w:rsidP="00C34D70">
            <w:pPr>
              <w:pStyle w:val="Para"/>
            </w:pPr>
            <w:r>
              <w:t>Walk.</w:t>
            </w:r>
          </w:p>
          <w:p w14:paraId="1294E9F1" w14:textId="583BF5B5" w:rsidR="00753A71" w:rsidRDefault="00753A71" w:rsidP="00C34D70">
            <w:pPr>
              <w:pStyle w:val="Para"/>
            </w:pPr>
            <w:r>
              <w:t>Index</w:t>
            </w:r>
          </w:p>
        </w:tc>
        <w:tc>
          <w:tcPr>
            <w:tcW w:w="756" w:type="dxa"/>
          </w:tcPr>
          <w:p w14:paraId="75DF847C" w14:textId="0C239703" w:rsidR="00753A71" w:rsidRDefault="00753A71" w:rsidP="00C34D70">
            <w:pPr>
              <w:pStyle w:val="Para"/>
            </w:pPr>
            <w:r>
              <w:t>Pop. Density</w:t>
            </w:r>
          </w:p>
        </w:tc>
        <w:tc>
          <w:tcPr>
            <w:tcW w:w="596" w:type="dxa"/>
          </w:tcPr>
          <w:p w14:paraId="1AEA8342" w14:textId="1395F10B" w:rsidR="00753A71" w:rsidRDefault="00753A71" w:rsidP="00C34D70">
            <w:pPr>
              <w:pStyle w:val="Para"/>
            </w:pPr>
            <w:r>
              <w:t>Job Density</w:t>
            </w:r>
          </w:p>
        </w:tc>
        <w:tc>
          <w:tcPr>
            <w:tcW w:w="776" w:type="dxa"/>
          </w:tcPr>
          <w:p w14:paraId="31BA3858" w14:textId="7AA374BA" w:rsidR="00753A71" w:rsidRDefault="00753A71" w:rsidP="00C34D70">
            <w:pPr>
              <w:pStyle w:val="Para"/>
            </w:pPr>
            <w:r>
              <w:t>Obesity</w:t>
            </w:r>
          </w:p>
        </w:tc>
      </w:tr>
      <w:tr w:rsidR="00753A71" w14:paraId="688F4FCD" w14:textId="77777777" w:rsidTr="00753A71">
        <w:tc>
          <w:tcPr>
            <w:tcW w:w="736" w:type="dxa"/>
          </w:tcPr>
          <w:p w14:paraId="7BE84C12" w14:textId="3E61DE0B" w:rsidR="00753A71" w:rsidRDefault="00753A71" w:rsidP="00C34D70">
            <w:pPr>
              <w:pStyle w:val="Para"/>
            </w:pPr>
            <w:r>
              <w:t>North</w:t>
            </w:r>
            <w:r w:rsidR="00121F99">
              <w:t>east</w:t>
            </w:r>
          </w:p>
        </w:tc>
        <w:tc>
          <w:tcPr>
            <w:tcW w:w="756" w:type="dxa"/>
          </w:tcPr>
          <w:p w14:paraId="19BB593C" w14:textId="69368EDF" w:rsidR="00753A71" w:rsidRDefault="00753A71" w:rsidP="00C34D70">
            <w:pPr>
              <w:pStyle w:val="Para"/>
            </w:pPr>
            <w:r>
              <w:t>495</w:t>
            </w:r>
            <w:r w:rsidR="00121F99">
              <w:t>.4</w:t>
            </w:r>
          </w:p>
        </w:tc>
        <w:tc>
          <w:tcPr>
            <w:tcW w:w="756" w:type="dxa"/>
          </w:tcPr>
          <w:p w14:paraId="435B0EAA" w14:textId="426794B6" w:rsidR="00753A71" w:rsidRDefault="00753A71" w:rsidP="00C34D70">
            <w:pPr>
              <w:pStyle w:val="Para"/>
            </w:pPr>
            <w:r>
              <w:t>14.01</w:t>
            </w:r>
          </w:p>
        </w:tc>
        <w:tc>
          <w:tcPr>
            <w:tcW w:w="756" w:type="dxa"/>
          </w:tcPr>
          <w:p w14:paraId="174E6E9F" w14:textId="59CBFB5B" w:rsidR="00753A71" w:rsidRDefault="00753A71" w:rsidP="00C34D70">
            <w:pPr>
              <w:pStyle w:val="Para"/>
            </w:pPr>
            <w:r>
              <w:t>6.13</w:t>
            </w:r>
          </w:p>
        </w:tc>
        <w:tc>
          <w:tcPr>
            <w:tcW w:w="596" w:type="dxa"/>
          </w:tcPr>
          <w:p w14:paraId="36F67B97" w14:textId="0FB48326" w:rsidR="00753A71" w:rsidRDefault="00753A71" w:rsidP="00C34D70">
            <w:pPr>
              <w:pStyle w:val="Para"/>
            </w:pPr>
            <w:r>
              <w:t>4.31</w:t>
            </w:r>
          </w:p>
        </w:tc>
        <w:tc>
          <w:tcPr>
            <w:tcW w:w="776" w:type="dxa"/>
          </w:tcPr>
          <w:p w14:paraId="28F021AE" w14:textId="2B3FADBC" w:rsidR="00753A71" w:rsidRDefault="00753A71" w:rsidP="00C34D70">
            <w:pPr>
              <w:pStyle w:val="Para"/>
            </w:pPr>
            <w:r>
              <w:t>26.40</w:t>
            </w:r>
          </w:p>
        </w:tc>
      </w:tr>
      <w:tr w:rsidR="00753A71" w14:paraId="740FDDB6" w14:textId="77777777" w:rsidTr="00753A71">
        <w:tc>
          <w:tcPr>
            <w:tcW w:w="736" w:type="dxa"/>
          </w:tcPr>
          <w:p w14:paraId="1D4F854F" w14:textId="5CBC50FD" w:rsidR="00753A71" w:rsidRDefault="00753A71" w:rsidP="00C34D70">
            <w:pPr>
              <w:pStyle w:val="Para"/>
            </w:pPr>
            <w:r>
              <w:t>South</w:t>
            </w:r>
          </w:p>
        </w:tc>
        <w:tc>
          <w:tcPr>
            <w:tcW w:w="756" w:type="dxa"/>
          </w:tcPr>
          <w:p w14:paraId="0EB9E72B" w14:textId="63BA67CE" w:rsidR="00753A71" w:rsidRDefault="00753A71" w:rsidP="00C34D70">
            <w:pPr>
              <w:pStyle w:val="Para"/>
            </w:pPr>
            <w:r>
              <w:t>559.4</w:t>
            </w:r>
          </w:p>
        </w:tc>
        <w:tc>
          <w:tcPr>
            <w:tcW w:w="756" w:type="dxa"/>
          </w:tcPr>
          <w:p w14:paraId="0CE60A55" w14:textId="7691D225" w:rsidR="00753A71" w:rsidRDefault="00753A71" w:rsidP="00C34D70">
            <w:pPr>
              <w:pStyle w:val="Para"/>
            </w:pPr>
            <w:r>
              <w:t>13.36</w:t>
            </w:r>
          </w:p>
        </w:tc>
        <w:tc>
          <w:tcPr>
            <w:tcW w:w="756" w:type="dxa"/>
          </w:tcPr>
          <w:p w14:paraId="70270AB6" w14:textId="1E1C0A68" w:rsidR="00753A71" w:rsidRDefault="00753A71" w:rsidP="00C34D70">
            <w:pPr>
              <w:pStyle w:val="Para"/>
            </w:pPr>
            <w:r>
              <w:t>5.88</w:t>
            </w:r>
          </w:p>
        </w:tc>
        <w:tc>
          <w:tcPr>
            <w:tcW w:w="596" w:type="dxa"/>
          </w:tcPr>
          <w:p w14:paraId="24D2CBEC" w14:textId="03724286" w:rsidR="00753A71" w:rsidRDefault="00753A71" w:rsidP="00C34D70">
            <w:pPr>
              <w:pStyle w:val="Para"/>
            </w:pPr>
            <w:r>
              <w:t>3.84</w:t>
            </w:r>
          </w:p>
        </w:tc>
        <w:tc>
          <w:tcPr>
            <w:tcW w:w="776" w:type="dxa"/>
          </w:tcPr>
          <w:p w14:paraId="45E5F47A" w14:textId="2D124E2E" w:rsidR="00753A71" w:rsidRDefault="00753A71" w:rsidP="00C34D70">
            <w:pPr>
              <w:pStyle w:val="Para"/>
            </w:pPr>
            <w:r>
              <w:t>31.85</w:t>
            </w:r>
          </w:p>
        </w:tc>
      </w:tr>
      <w:tr w:rsidR="00753A71" w14:paraId="19B14A3C" w14:textId="77777777" w:rsidTr="00753A71">
        <w:tc>
          <w:tcPr>
            <w:tcW w:w="736" w:type="dxa"/>
          </w:tcPr>
          <w:p w14:paraId="5B153009" w14:textId="652D31A0" w:rsidR="00753A71" w:rsidRDefault="00753A71" w:rsidP="00C34D70">
            <w:pPr>
              <w:pStyle w:val="Para"/>
            </w:pPr>
            <w:r>
              <w:t>Midwest</w:t>
            </w:r>
          </w:p>
        </w:tc>
        <w:tc>
          <w:tcPr>
            <w:tcW w:w="756" w:type="dxa"/>
          </w:tcPr>
          <w:p w14:paraId="56E0A98D" w14:textId="665EFF28" w:rsidR="00753A71" w:rsidRDefault="00753A71" w:rsidP="00C34D70">
            <w:pPr>
              <w:pStyle w:val="Para"/>
            </w:pPr>
            <w:r>
              <w:t>496.4</w:t>
            </w:r>
          </w:p>
        </w:tc>
        <w:tc>
          <w:tcPr>
            <w:tcW w:w="756" w:type="dxa"/>
          </w:tcPr>
          <w:p w14:paraId="03D56FBA" w14:textId="5590D80C" w:rsidR="00753A71" w:rsidRDefault="00753A71" w:rsidP="00C34D70">
            <w:pPr>
              <w:pStyle w:val="Para"/>
            </w:pPr>
            <w:r>
              <w:t>13.50</w:t>
            </w:r>
          </w:p>
        </w:tc>
        <w:tc>
          <w:tcPr>
            <w:tcW w:w="756" w:type="dxa"/>
          </w:tcPr>
          <w:p w14:paraId="2E2BDC75" w14:textId="183CF0C7" w:rsidR="00753A71" w:rsidRDefault="00753A71" w:rsidP="00C34D70">
            <w:pPr>
              <w:pStyle w:val="Para"/>
            </w:pPr>
            <w:r>
              <w:t>5.11</w:t>
            </w:r>
          </w:p>
        </w:tc>
        <w:tc>
          <w:tcPr>
            <w:tcW w:w="596" w:type="dxa"/>
          </w:tcPr>
          <w:p w14:paraId="63B53C95" w14:textId="0B31767E" w:rsidR="00753A71" w:rsidRDefault="00753A71" w:rsidP="00C34D70">
            <w:pPr>
              <w:pStyle w:val="Para"/>
            </w:pPr>
            <w:r>
              <w:t>3.24</w:t>
            </w:r>
          </w:p>
        </w:tc>
        <w:tc>
          <w:tcPr>
            <w:tcW w:w="776" w:type="dxa"/>
          </w:tcPr>
          <w:p w14:paraId="3AE2164B" w14:textId="05E131C9" w:rsidR="00753A71" w:rsidRDefault="00753A71" w:rsidP="00C34D70">
            <w:pPr>
              <w:pStyle w:val="Para"/>
            </w:pPr>
            <w:r>
              <w:t>31.00</w:t>
            </w:r>
          </w:p>
        </w:tc>
      </w:tr>
      <w:tr w:rsidR="00753A71" w14:paraId="2829B58E" w14:textId="77777777" w:rsidTr="00753A71">
        <w:tc>
          <w:tcPr>
            <w:tcW w:w="736" w:type="dxa"/>
          </w:tcPr>
          <w:p w14:paraId="3006A432" w14:textId="6255987A" w:rsidR="00753A71" w:rsidRDefault="00753A71" w:rsidP="00C34D70">
            <w:pPr>
              <w:pStyle w:val="Para"/>
            </w:pPr>
            <w:r>
              <w:t>West</w:t>
            </w:r>
          </w:p>
        </w:tc>
        <w:tc>
          <w:tcPr>
            <w:tcW w:w="756" w:type="dxa"/>
          </w:tcPr>
          <w:p w14:paraId="09D5CD36" w14:textId="791330A3" w:rsidR="00753A71" w:rsidRDefault="00121F99" w:rsidP="00C34D70">
            <w:pPr>
              <w:pStyle w:val="Para"/>
            </w:pPr>
            <w:r>
              <w:t>554.5</w:t>
            </w:r>
          </w:p>
        </w:tc>
        <w:tc>
          <w:tcPr>
            <w:tcW w:w="756" w:type="dxa"/>
          </w:tcPr>
          <w:p w14:paraId="6A2E4930" w14:textId="64A55EB3" w:rsidR="00753A71" w:rsidRDefault="00121F99" w:rsidP="00C34D70">
            <w:pPr>
              <w:pStyle w:val="Para"/>
            </w:pPr>
            <w:r>
              <w:t>13.92</w:t>
            </w:r>
          </w:p>
        </w:tc>
        <w:tc>
          <w:tcPr>
            <w:tcW w:w="756" w:type="dxa"/>
          </w:tcPr>
          <w:p w14:paraId="0CBA959A" w14:textId="3443C92F" w:rsidR="00753A71" w:rsidRDefault="00121F99" w:rsidP="00C34D70">
            <w:pPr>
              <w:pStyle w:val="Para"/>
            </w:pPr>
            <w:r>
              <w:t>5.33</w:t>
            </w:r>
          </w:p>
        </w:tc>
        <w:tc>
          <w:tcPr>
            <w:tcW w:w="596" w:type="dxa"/>
          </w:tcPr>
          <w:p w14:paraId="6D09DC48" w14:textId="221E5EDA" w:rsidR="00753A71" w:rsidRDefault="00121F99" w:rsidP="00C34D70">
            <w:pPr>
              <w:pStyle w:val="Para"/>
            </w:pPr>
            <w:r>
              <w:t>2.98</w:t>
            </w:r>
          </w:p>
        </w:tc>
        <w:tc>
          <w:tcPr>
            <w:tcW w:w="776" w:type="dxa"/>
          </w:tcPr>
          <w:p w14:paraId="2E549DDC" w14:textId="016D1CD8" w:rsidR="00753A71" w:rsidRDefault="00121F99" w:rsidP="00C34D70">
            <w:pPr>
              <w:pStyle w:val="Para"/>
            </w:pPr>
            <w:r>
              <w:t>26.43</w:t>
            </w:r>
          </w:p>
        </w:tc>
      </w:tr>
    </w:tbl>
    <w:p w14:paraId="2E395E8D" w14:textId="77777777" w:rsidR="00753A71" w:rsidRDefault="00753A71" w:rsidP="00C34D70">
      <w:pPr>
        <w:pStyle w:val="Para"/>
      </w:pPr>
    </w:p>
    <w:p w14:paraId="52FE0D8E" w14:textId="0DB88CE1" w:rsidR="00A66145" w:rsidRDefault="00121F99" w:rsidP="00C34D70">
      <w:pPr>
        <w:pStyle w:val="Para"/>
      </w:pPr>
      <w:r>
        <w:t xml:space="preserve">We note that the Northeast is the region with the lowest car ownership and the highest walkability scores, as well as the highest density of both inhabitants and jobs. It also boasts the lowest average obesity. </w:t>
      </w:r>
    </w:p>
    <w:p w14:paraId="009DB761" w14:textId="77777777" w:rsidR="00686509" w:rsidRDefault="00686509" w:rsidP="00C34D70">
      <w:pPr>
        <w:pStyle w:val="Para"/>
      </w:pPr>
    </w:p>
    <w:p w14:paraId="7260AA9C" w14:textId="31D38772" w:rsidR="00686509" w:rsidRDefault="00686509" w:rsidP="00C34D70">
      <w:pPr>
        <w:pStyle w:val="Para"/>
      </w:pPr>
      <w:r>
        <w:t xml:space="preserve">For our model prediction of Walkability scores using density metrics and low wage earners, we present our error metrics below: </w:t>
      </w:r>
    </w:p>
    <w:tbl>
      <w:tblPr>
        <w:tblStyle w:val="TableGrid"/>
        <w:tblW w:w="0" w:type="auto"/>
        <w:tblLook w:val="04A0" w:firstRow="1" w:lastRow="0" w:firstColumn="1" w:lastColumn="0" w:noHBand="0" w:noVBand="1"/>
      </w:tblPr>
      <w:tblGrid>
        <w:gridCol w:w="2508"/>
        <w:gridCol w:w="2508"/>
      </w:tblGrid>
      <w:tr w:rsidR="00686509" w14:paraId="12CFAFCE" w14:textId="77777777" w:rsidTr="00686509">
        <w:tc>
          <w:tcPr>
            <w:tcW w:w="2508" w:type="dxa"/>
          </w:tcPr>
          <w:p w14:paraId="621409E8" w14:textId="0C14C330" w:rsidR="00686509" w:rsidRDefault="00686509" w:rsidP="00C34D70">
            <w:pPr>
              <w:pStyle w:val="Para"/>
            </w:pPr>
            <w:r>
              <w:t>Metric</w:t>
            </w:r>
          </w:p>
        </w:tc>
        <w:tc>
          <w:tcPr>
            <w:tcW w:w="2508" w:type="dxa"/>
          </w:tcPr>
          <w:p w14:paraId="35CCF494" w14:textId="4F7F61D7" w:rsidR="00686509" w:rsidRDefault="00686509" w:rsidP="00C34D70">
            <w:pPr>
              <w:pStyle w:val="Para"/>
            </w:pPr>
            <w:r>
              <w:t>Value</w:t>
            </w:r>
          </w:p>
        </w:tc>
      </w:tr>
      <w:tr w:rsidR="00686509" w14:paraId="5FBF38FB" w14:textId="77777777" w:rsidTr="00686509">
        <w:tc>
          <w:tcPr>
            <w:tcW w:w="2508" w:type="dxa"/>
          </w:tcPr>
          <w:p w14:paraId="449823BD" w14:textId="1DB8868F" w:rsidR="00686509" w:rsidRDefault="00686509" w:rsidP="00C34D70">
            <w:pPr>
              <w:pStyle w:val="Para"/>
            </w:pPr>
            <w:r>
              <w:t>Mean Absolute Error</w:t>
            </w:r>
          </w:p>
        </w:tc>
        <w:tc>
          <w:tcPr>
            <w:tcW w:w="2508" w:type="dxa"/>
          </w:tcPr>
          <w:p w14:paraId="1B9FE274" w14:textId="04D4133D" w:rsidR="00686509" w:rsidRDefault="00AD25F3" w:rsidP="00C34D70">
            <w:pPr>
              <w:pStyle w:val="Para"/>
            </w:pPr>
            <w:r w:rsidRPr="00AD25F3">
              <w:t>0.53</w:t>
            </w:r>
            <w:r>
              <w:t>4</w:t>
            </w:r>
          </w:p>
        </w:tc>
      </w:tr>
      <w:tr w:rsidR="00686509" w14:paraId="5599C308" w14:textId="77777777" w:rsidTr="00686509">
        <w:tc>
          <w:tcPr>
            <w:tcW w:w="2508" w:type="dxa"/>
          </w:tcPr>
          <w:p w14:paraId="45F9E1E8" w14:textId="20563E6A" w:rsidR="00686509" w:rsidRDefault="00686509" w:rsidP="00C34D70">
            <w:pPr>
              <w:pStyle w:val="Para"/>
            </w:pPr>
            <w:r>
              <w:t>Mean Squared Error</w:t>
            </w:r>
          </w:p>
        </w:tc>
        <w:tc>
          <w:tcPr>
            <w:tcW w:w="2508" w:type="dxa"/>
          </w:tcPr>
          <w:p w14:paraId="1E5C4A44" w14:textId="66967CC0" w:rsidR="00686509" w:rsidRDefault="00AD25F3" w:rsidP="00C34D70">
            <w:pPr>
              <w:pStyle w:val="Para"/>
            </w:pPr>
            <w:r>
              <w:t>0.430</w:t>
            </w:r>
          </w:p>
        </w:tc>
      </w:tr>
      <w:tr w:rsidR="00686509" w14:paraId="1A66E1FC" w14:textId="77777777" w:rsidTr="00686509">
        <w:tc>
          <w:tcPr>
            <w:tcW w:w="2508" w:type="dxa"/>
          </w:tcPr>
          <w:p w14:paraId="06DBE9D1" w14:textId="6331E4B7" w:rsidR="00686509" w:rsidRDefault="00686509" w:rsidP="00C34D70">
            <w:pPr>
              <w:pStyle w:val="Para"/>
            </w:pPr>
            <w:r>
              <w:t>R</w:t>
            </w:r>
            <w:r w:rsidRPr="00686509">
              <w:t>²</w:t>
            </w:r>
          </w:p>
        </w:tc>
        <w:tc>
          <w:tcPr>
            <w:tcW w:w="2508" w:type="dxa"/>
          </w:tcPr>
          <w:p w14:paraId="3DA5BD95" w14:textId="01978FDE" w:rsidR="00686509" w:rsidRDefault="00AD25F3" w:rsidP="00C34D70">
            <w:pPr>
              <w:pStyle w:val="Para"/>
            </w:pPr>
            <w:r>
              <w:t>0.114</w:t>
            </w:r>
          </w:p>
        </w:tc>
      </w:tr>
    </w:tbl>
    <w:p w14:paraId="4E017FAD" w14:textId="77777777" w:rsidR="00AD25F3" w:rsidRDefault="00686509" w:rsidP="00C34D70">
      <w:pPr>
        <w:pStyle w:val="Para"/>
      </w:pPr>
      <w:r>
        <w:t xml:space="preserve">Generally, these metrics </w:t>
      </w:r>
      <w:r w:rsidR="00AD25F3">
        <w:t>suggest that the model does hold some value, if not extremely precise prediction capabilities</w:t>
      </w:r>
      <w:r>
        <w:t xml:space="preserve">. </w:t>
      </w:r>
      <w:r w:rsidR="00AD25F3">
        <w:t xml:space="preserve">We then look at the coefficients for our model: </w:t>
      </w:r>
    </w:p>
    <w:tbl>
      <w:tblPr>
        <w:tblStyle w:val="TableGrid"/>
        <w:tblW w:w="0" w:type="auto"/>
        <w:tblLook w:val="04A0" w:firstRow="1" w:lastRow="0" w:firstColumn="1" w:lastColumn="0" w:noHBand="0" w:noVBand="1"/>
      </w:tblPr>
      <w:tblGrid>
        <w:gridCol w:w="2508"/>
        <w:gridCol w:w="2508"/>
      </w:tblGrid>
      <w:tr w:rsidR="00AD25F3" w14:paraId="4614074C" w14:textId="77777777" w:rsidTr="00AD25F3">
        <w:tc>
          <w:tcPr>
            <w:tcW w:w="2508" w:type="dxa"/>
          </w:tcPr>
          <w:p w14:paraId="59B718AE" w14:textId="62F17AC5" w:rsidR="00AD25F3" w:rsidRDefault="00AD25F3" w:rsidP="00C34D70">
            <w:pPr>
              <w:pStyle w:val="Para"/>
            </w:pPr>
            <w:r>
              <w:t>Variable</w:t>
            </w:r>
          </w:p>
        </w:tc>
        <w:tc>
          <w:tcPr>
            <w:tcW w:w="2508" w:type="dxa"/>
          </w:tcPr>
          <w:p w14:paraId="603AAD37" w14:textId="7B5290D3" w:rsidR="00AD25F3" w:rsidRDefault="00AD25F3" w:rsidP="00C34D70">
            <w:pPr>
              <w:pStyle w:val="Para"/>
            </w:pPr>
            <w:r>
              <w:t>Coefficient</w:t>
            </w:r>
          </w:p>
        </w:tc>
      </w:tr>
      <w:tr w:rsidR="00AD25F3" w14:paraId="7B38FC87" w14:textId="77777777" w:rsidTr="00AD25F3">
        <w:tc>
          <w:tcPr>
            <w:tcW w:w="2508" w:type="dxa"/>
          </w:tcPr>
          <w:p w14:paraId="0968D32B" w14:textId="5E234343" w:rsidR="00AD25F3" w:rsidRDefault="00AD25F3" w:rsidP="00C34D70">
            <w:pPr>
              <w:pStyle w:val="Para"/>
            </w:pPr>
            <w:r>
              <w:t>Population Density</w:t>
            </w:r>
          </w:p>
        </w:tc>
        <w:tc>
          <w:tcPr>
            <w:tcW w:w="2508" w:type="dxa"/>
          </w:tcPr>
          <w:p w14:paraId="1579C2F5" w14:textId="3A8D175A" w:rsidR="00AD25F3" w:rsidRDefault="00AD25F3" w:rsidP="00C34D70">
            <w:pPr>
              <w:pStyle w:val="Para"/>
            </w:pPr>
            <w:r>
              <w:t>-0.0</w:t>
            </w:r>
            <w:r w:rsidR="002B2882">
              <w:t>21</w:t>
            </w:r>
          </w:p>
        </w:tc>
      </w:tr>
      <w:tr w:rsidR="00AD25F3" w14:paraId="68DE3AF6" w14:textId="77777777" w:rsidTr="00AD25F3">
        <w:tc>
          <w:tcPr>
            <w:tcW w:w="2508" w:type="dxa"/>
          </w:tcPr>
          <w:p w14:paraId="543CCAD7" w14:textId="51A2640E" w:rsidR="00AD25F3" w:rsidRDefault="00AD25F3" w:rsidP="00C34D70">
            <w:pPr>
              <w:pStyle w:val="Para"/>
            </w:pPr>
            <w:r>
              <w:t>Job Density</w:t>
            </w:r>
          </w:p>
        </w:tc>
        <w:tc>
          <w:tcPr>
            <w:tcW w:w="2508" w:type="dxa"/>
          </w:tcPr>
          <w:p w14:paraId="3B3E876D" w14:textId="72E40179" w:rsidR="00AD25F3" w:rsidRDefault="002B2882" w:rsidP="00C34D70">
            <w:pPr>
              <w:pStyle w:val="Para"/>
            </w:pPr>
            <w:r>
              <w:t>0.122</w:t>
            </w:r>
          </w:p>
        </w:tc>
      </w:tr>
      <w:tr w:rsidR="00AD25F3" w14:paraId="01921136" w14:textId="77777777" w:rsidTr="00AD25F3">
        <w:tc>
          <w:tcPr>
            <w:tcW w:w="2508" w:type="dxa"/>
          </w:tcPr>
          <w:p w14:paraId="3088CB75" w14:textId="47A9F629" w:rsidR="00AD25F3" w:rsidRDefault="00AD25F3" w:rsidP="00C34D70">
            <w:pPr>
              <w:pStyle w:val="Para"/>
            </w:pPr>
            <w:r>
              <w:t>Low Wage Percent</w:t>
            </w:r>
          </w:p>
        </w:tc>
        <w:tc>
          <w:tcPr>
            <w:tcW w:w="2508" w:type="dxa"/>
          </w:tcPr>
          <w:p w14:paraId="0AF2040D" w14:textId="580F08BE" w:rsidR="00AD25F3" w:rsidRDefault="002B2882" w:rsidP="00C34D70">
            <w:pPr>
              <w:pStyle w:val="Para"/>
            </w:pPr>
            <w:r>
              <w:t>-1.77</w:t>
            </w:r>
          </w:p>
        </w:tc>
      </w:tr>
    </w:tbl>
    <w:p w14:paraId="6EFA8571" w14:textId="4B96F92F" w:rsidR="00686509" w:rsidRDefault="002B2882" w:rsidP="00C34D70">
      <w:pPr>
        <w:pStyle w:val="Para"/>
      </w:pPr>
      <w:r>
        <w:t xml:space="preserve">The negative variable on population density is likely due to a high correlation between population density and job density: a high job density is more impactful on walkability because urban city centers are where jobs are concentrated, and likely to be more walkable. As such, the correlated variable of population density has a negative coefficient since it is not as strongly correlated with the target as job density is. The negative coefficient on low wage percentage suggests that poorer areas are significantly less likely to be walkable. </w:t>
      </w:r>
    </w:p>
    <w:p w14:paraId="0252DAE7" w14:textId="77777777" w:rsidR="00686509" w:rsidRDefault="00686509" w:rsidP="00C34D70">
      <w:pPr>
        <w:pStyle w:val="Para"/>
      </w:pPr>
    </w:p>
    <w:p w14:paraId="26CA1A6D" w14:textId="4542AA07" w:rsidR="00686509" w:rsidRDefault="00686509" w:rsidP="00C34D70">
      <w:pPr>
        <w:pStyle w:val="Para"/>
      </w:pPr>
      <w:r>
        <w:t xml:space="preserve">For our model prediction of obesity prevalence using walkability metrics, we present the following metrics: </w:t>
      </w:r>
    </w:p>
    <w:tbl>
      <w:tblPr>
        <w:tblStyle w:val="TableGrid"/>
        <w:tblW w:w="0" w:type="auto"/>
        <w:tblLook w:val="04A0" w:firstRow="1" w:lastRow="0" w:firstColumn="1" w:lastColumn="0" w:noHBand="0" w:noVBand="1"/>
      </w:tblPr>
      <w:tblGrid>
        <w:gridCol w:w="2508"/>
        <w:gridCol w:w="2508"/>
      </w:tblGrid>
      <w:tr w:rsidR="00686509" w14:paraId="1C4CA0C6" w14:textId="77777777" w:rsidTr="00686509">
        <w:tc>
          <w:tcPr>
            <w:tcW w:w="2508" w:type="dxa"/>
          </w:tcPr>
          <w:p w14:paraId="2B4AFE12" w14:textId="77C2E644" w:rsidR="00686509" w:rsidRDefault="00686509" w:rsidP="00C34D70">
            <w:pPr>
              <w:pStyle w:val="Para"/>
            </w:pPr>
            <w:r>
              <w:t>Metric</w:t>
            </w:r>
          </w:p>
        </w:tc>
        <w:tc>
          <w:tcPr>
            <w:tcW w:w="2508" w:type="dxa"/>
          </w:tcPr>
          <w:p w14:paraId="7701D4C6" w14:textId="1B9E0AA6" w:rsidR="00686509" w:rsidRDefault="00686509" w:rsidP="00C34D70">
            <w:pPr>
              <w:pStyle w:val="Para"/>
            </w:pPr>
            <w:r>
              <w:t>Value</w:t>
            </w:r>
          </w:p>
        </w:tc>
      </w:tr>
      <w:tr w:rsidR="00686509" w14:paraId="49BDD67A" w14:textId="77777777" w:rsidTr="00686509">
        <w:tc>
          <w:tcPr>
            <w:tcW w:w="2508" w:type="dxa"/>
          </w:tcPr>
          <w:p w14:paraId="42C094AF" w14:textId="456AF6F9" w:rsidR="00686509" w:rsidRDefault="00686509" w:rsidP="00C34D70">
            <w:pPr>
              <w:pStyle w:val="Para"/>
            </w:pPr>
            <w:r>
              <w:t>Mean Absolute Error</w:t>
            </w:r>
          </w:p>
        </w:tc>
        <w:tc>
          <w:tcPr>
            <w:tcW w:w="2508" w:type="dxa"/>
          </w:tcPr>
          <w:p w14:paraId="7114E5B9" w14:textId="7EE0BB89" w:rsidR="00686509" w:rsidRDefault="00A82659" w:rsidP="00C34D70">
            <w:pPr>
              <w:pStyle w:val="Para"/>
            </w:pPr>
            <w:r>
              <w:t>2.067</w:t>
            </w:r>
          </w:p>
        </w:tc>
      </w:tr>
      <w:tr w:rsidR="00686509" w14:paraId="478AEB9B" w14:textId="77777777" w:rsidTr="00686509">
        <w:tc>
          <w:tcPr>
            <w:tcW w:w="2508" w:type="dxa"/>
          </w:tcPr>
          <w:p w14:paraId="12D9F24C" w14:textId="31C34214" w:rsidR="00686509" w:rsidRDefault="00686509" w:rsidP="00C34D70">
            <w:pPr>
              <w:pStyle w:val="Para"/>
            </w:pPr>
            <w:r>
              <w:t>Mean Squared Error</w:t>
            </w:r>
          </w:p>
        </w:tc>
        <w:tc>
          <w:tcPr>
            <w:tcW w:w="2508" w:type="dxa"/>
          </w:tcPr>
          <w:p w14:paraId="4E30F745" w14:textId="2CF0C6BB" w:rsidR="00686509" w:rsidRDefault="00A82659" w:rsidP="00C34D70">
            <w:pPr>
              <w:pStyle w:val="Para"/>
            </w:pPr>
            <w:r>
              <w:t>5.748</w:t>
            </w:r>
          </w:p>
        </w:tc>
      </w:tr>
      <w:tr w:rsidR="00686509" w14:paraId="0737D653" w14:textId="77777777" w:rsidTr="00686509">
        <w:tc>
          <w:tcPr>
            <w:tcW w:w="2508" w:type="dxa"/>
          </w:tcPr>
          <w:p w14:paraId="377D7579" w14:textId="16FF985C" w:rsidR="00686509" w:rsidRDefault="00686509" w:rsidP="00C34D70">
            <w:pPr>
              <w:pStyle w:val="Para"/>
            </w:pPr>
            <w:r>
              <w:t>R</w:t>
            </w:r>
            <w:r w:rsidRPr="00686509">
              <w:t>²</w:t>
            </w:r>
          </w:p>
        </w:tc>
        <w:tc>
          <w:tcPr>
            <w:tcW w:w="2508" w:type="dxa"/>
          </w:tcPr>
          <w:p w14:paraId="63106677" w14:textId="6E4D1496" w:rsidR="00686509" w:rsidRDefault="00A82659" w:rsidP="00C34D70">
            <w:pPr>
              <w:pStyle w:val="Para"/>
            </w:pPr>
            <w:r>
              <w:t>0.491</w:t>
            </w:r>
          </w:p>
        </w:tc>
      </w:tr>
    </w:tbl>
    <w:p w14:paraId="7714E7F8" w14:textId="45B66C0B" w:rsidR="00686509" w:rsidRDefault="00A82659" w:rsidP="00C34D70">
      <w:pPr>
        <w:pStyle w:val="Para"/>
      </w:pPr>
      <w:r>
        <w:t>This suggests a much more predictive model. With a higher R</w:t>
      </w:r>
      <w:r w:rsidRPr="00686509">
        <w:t>²</w:t>
      </w:r>
      <w:r>
        <w:t xml:space="preserve"> and error values that are lower in comparison to the variance in what it predicts, this shows that this model is quite good. Here we present coefficients: </w:t>
      </w:r>
    </w:p>
    <w:tbl>
      <w:tblPr>
        <w:tblStyle w:val="TableGrid"/>
        <w:tblW w:w="0" w:type="auto"/>
        <w:tblLook w:val="04A0" w:firstRow="1" w:lastRow="0" w:firstColumn="1" w:lastColumn="0" w:noHBand="0" w:noVBand="1"/>
      </w:tblPr>
      <w:tblGrid>
        <w:gridCol w:w="2508"/>
        <w:gridCol w:w="2508"/>
      </w:tblGrid>
      <w:tr w:rsidR="00A82659" w14:paraId="49ADB420" w14:textId="77777777" w:rsidTr="00A82659">
        <w:tc>
          <w:tcPr>
            <w:tcW w:w="2508" w:type="dxa"/>
          </w:tcPr>
          <w:p w14:paraId="787E1625" w14:textId="54308CB8" w:rsidR="00A82659" w:rsidRDefault="00A82659" w:rsidP="00C34D70">
            <w:pPr>
              <w:pStyle w:val="Para"/>
            </w:pPr>
            <w:r>
              <w:t>Variable</w:t>
            </w:r>
          </w:p>
        </w:tc>
        <w:tc>
          <w:tcPr>
            <w:tcW w:w="2508" w:type="dxa"/>
          </w:tcPr>
          <w:p w14:paraId="1824751E" w14:textId="3A8D8DFC" w:rsidR="00A82659" w:rsidRDefault="00A82659" w:rsidP="00C34D70">
            <w:pPr>
              <w:pStyle w:val="Para"/>
            </w:pPr>
            <w:r>
              <w:t>Coefficient</w:t>
            </w:r>
          </w:p>
        </w:tc>
      </w:tr>
      <w:tr w:rsidR="00A82659" w14:paraId="79D5F729" w14:textId="77777777" w:rsidTr="00A82659">
        <w:tc>
          <w:tcPr>
            <w:tcW w:w="2508" w:type="dxa"/>
          </w:tcPr>
          <w:p w14:paraId="720F8475" w14:textId="069A0F68" w:rsidR="00A82659" w:rsidRDefault="00A82659" w:rsidP="00C34D70">
            <w:pPr>
              <w:pStyle w:val="Para"/>
            </w:pPr>
            <w:r>
              <w:t>Population Density</w:t>
            </w:r>
          </w:p>
        </w:tc>
        <w:tc>
          <w:tcPr>
            <w:tcW w:w="2508" w:type="dxa"/>
          </w:tcPr>
          <w:p w14:paraId="58596DCB" w14:textId="6EADD5AC" w:rsidR="00A82659" w:rsidRDefault="00A82659" w:rsidP="00C34D70">
            <w:pPr>
              <w:pStyle w:val="Para"/>
            </w:pPr>
            <w:r>
              <w:t>0.151</w:t>
            </w:r>
          </w:p>
        </w:tc>
      </w:tr>
      <w:tr w:rsidR="00A82659" w14:paraId="04AE46C8" w14:textId="77777777" w:rsidTr="00A82659">
        <w:tc>
          <w:tcPr>
            <w:tcW w:w="2508" w:type="dxa"/>
          </w:tcPr>
          <w:p w14:paraId="2077C7BF" w14:textId="0986D9A3" w:rsidR="00A82659" w:rsidRDefault="00A82659" w:rsidP="00C34D70">
            <w:pPr>
              <w:pStyle w:val="Para"/>
            </w:pPr>
            <w:r>
              <w:t>Low Wage Percent</w:t>
            </w:r>
          </w:p>
        </w:tc>
        <w:tc>
          <w:tcPr>
            <w:tcW w:w="2508" w:type="dxa"/>
          </w:tcPr>
          <w:p w14:paraId="2E36BAF0" w14:textId="63A373DE" w:rsidR="00A82659" w:rsidRDefault="00A82659" w:rsidP="00C34D70">
            <w:pPr>
              <w:pStyle w:val="Para"/>
            </w:pPr>
            <w:r>
              <w:t>91.76</w:t>
            </w:r>
          </w:p>
        </w:tc>
      </w:tr>
      <w:tr w:rsidR="00A82659" w14:paraId="4255864B" w14:textId="77777777" w:rsidTr="00A82659">
        <w:tc>
          <w:tcPr>
            <w:tcW w:w="2508" w:type="dxa"/>
          </w:tcPr>
          <w:p w14:paraId="2CDE25F9" w14:textId="58773538" w:rsidR="00A82659" w:rsidRDefault="00A82659" w:rsidP="00C34D70">
            <w:pPr>
              <w:pStyle w:val="Para"/>
            </w:pPr>
            <w:r>
              <w:t>Percent Owning No Cars</w:t>
            </w:r>
          </w:p>
        </w:tc>
        <w:tc>
          <w:tcPr>
            <w:tcW w:w="2508" w:type="dxa"/>
          </w:tcPr>
          <w:p w14:paraId="61638797" w14:textId="639E0EB3" w:rsidR="00A82659" w:rsidRDefault="00FA5963" w:rsidP="00C34D70">
            <w:pPr>
              <w:pStyle w:val="Para"/>
            </w:pPr>
            <w:r>
              <w:t>-7.818</w:t>
            </w:r>
          </w:p>
        </w:tc>
      </w:tr>
      <w:tr w:rsidR="00A82659" w14:paraId="166469B4" w14:textId="77777777" w:rsidTr="00A82659">
        <w:tc>
          <w:tcPr>
            <w:tcW w:w="2508" w:type="dxa"/>
          </w:tcPr>
          <w:p w14:paraId="660DCE4D" w14:textId="56EE8DA9" w:rsidR="00A82659" w:rsidRDefault="00A82659" w:rsidP="00C34D70">
            <w:pPr>
              <w:pStyle w:val="Para"/>
            </w:pPr>
            <w:r>
              <w:t>Distance to Transit</w:t>
            </w:r>
          </w:p>
        </w:tc>
        <w:tc>
          <w:tcPr>
            <w:tcW w:w="2508" w:type="dxa"/>
          </w:tcPr>
          <w:p w14:paraId="3AB03EC2" w14:textId="2BAED7A3" w:rsidR="00A82659" w:rsidRDefault="00FA5963" w:rsidP="00C34D70">
            <w:pPr>
              <w:pStyle w:val="Para"/>
            </w:pPr>
            <w:r>
              <w:t>0.00315</w:t>
            </w:r>
          </w:p>
        </w:tc>
      </w:tr>
      <w:tr w:rsidR="00A82659" w14:paraId="48EDB7DD" w14:textId="77777777" w:rsidTr="00A82659">
        <w:tc>
          <w:tcPr>
            <w:tcW w:w="2508" w:type="dxa"/>
          </w:tcPr>
          <w:p w14:paraId="2537CDF9" w14:textId="1FBA2B7F" w:rsidR="00A82659" w:rsidRDefault="00A82659" w:rsidP="00C34D70">
            <w:pPr>
              <w:pStyle w:val="Para"/>
            </w:pPr>
            <w:r>
              <w:t>Walkability Index</w:t>
            </w:r>
          </w:p>
        </w:tc>
        <w:tc>
          <w:tcPr>
            <w:tcW w:w="2508" w:type="dxa"/>
          </w:tcPr>
          <w:p w14:paraId="68E58A0B" w14:textId="4F75ACCC" w:rsidR="00FA5963" w:rsidRDefault="00FA5963" w:rsidP="00C34D70">
            <w:pPr>
              <w:pStyle w:val="Para"/>
            </w:pPr>
            <w:r>
              <w:t>-0.0762</w:t>
            </w:r>
          </w:p>
        </w:tc>
      </w:tr>
    </w:tbl>
    <w:p w14:paraId="08E663A1" w14:textId="15628CC6" w:rsidR="00D30872" w:rsidRPr="00D30872" w:rsidRDefault="00D30872" w:rsidP="00FA5963">
      <w:pPr>
        <w:pStyle w:val="Head1"/>
        <w:spacing w:before="380"/>
        <w:ind w:left="0" w:firstLine="0"/>
        <w:rPr>
          <w:rStyle w:val="Label"/>
          <w:rFonts w:eastAsia="SimSun"/>
          <w:b w:val="0"/>
          <w:bCs/>
          <w:sz w:val="18"/>
          <w:szCs w:val="18"/>
          <w:lang w:eastAsia="zh-CN"/>
        </w:rPr>
      </w:pPr>
      <w:r>
        <w:rPr>
          <w:rStyle w:val="Label"/>
          <w:rFonts w:eastAsia="SimSun"/>
          <w:b w:val="0"/>
          <w:bCs/>
          <w:sz w:val="18"/>
          <w:szCs w:val="18"/>
          <w:lang w:eastAsia="zh-CN"/>
        </w:rPr>
        <w:lastRenderedPageBreak/>
        <w:t xml:space="preserve">These coefficients suggest that there is a very strong correlation between low wage earning and obesity, as well as a significant negative correlation between the population owning no cars and obesity. There are also small correlations between density and distance to transit, as well as a small negative correlation between walkability and obesity. </w:t>
      </w:r>
    </w:p>
    <w:p w14:paraId="778229D3" w14:textId="373860CD" w:rsidR="004646EF" w:rsidRDefault="004646EF" w:rsidP="00FA5963">
      <w:pPr>
        <w:pStyle w:val="Head1"/>
        <w:spacing w:before="380"/>
        <w:ind w:left="0" w:firstLine="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Discussion</w:t>
      </w:r>
    </w:p>
    <w:p w14:paraId="595BB5C9" w14:textId="1A15ADE4" w:rsidR="00E859B5" w:rsidRPr="003E1B51" w:rsidRDefault="00D30872" w:rsidP="00D30872">
      <w:pPr>
        <w:pStyle w:val="Para"/>
      </w:pPr>
      <w:r>
        <w:t xml:space="preserve">Notably, this report does not use granular, census-block-level obesity data, and is forced to aggregate the wealth of granular data available into state data. A much more predictive study would include lower-level state obesity data. Additionally, the presence of null values in the data set did significantly cut down on the availability of data; around 50% of rows contained null values. Null values were also more likely to occur outside of the continental united states, making it infeasible to analyze US territories in this project. </w:t>
      </w:r>
    </w:p>
    <w:p w14:paraId="578B8CEB" w14:textId="448B2FD9" w:rsidR="004646EF" w:rsidRDefault="004646EF" w:rsidP="004646EF">
      <w:pPr>
        <w:pStyle w:val="Head1"/>
        <w:spacing w:before="380"/>
        <w:rPr>
          <w:rStyle w:val="Label"/>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47C54A59" w14:textId="28112653" w:rsidR="00E859B5" w:rsidRPr="00670BF6" w:rsidRDefault="00D30872" w:rsidP="00670BF6">
      <w:pPr>
        <w:pStyle w:val="Para"/>
      </w:pPr>
      <w:r>
        <w:t xml:space="preserve">This report has shown a connection between obesity and the percentage of populations that own cars; that is, the greater proportion of the population not owning cars, the less prevalent obesity is. We also examine that the Northeast region of the United States, as well as the District of Columbia, are particularly good in these metrics: they have, respectively, the lowest average car ownership of any US region and the lowest car ownership of any singular US state-level subdivision in our analysis. With this information, states and counties can better make decisions on how to fight the obesity epidemic in the United States at a city planning and urbanist level, by promoting walkability and walking in order to reduce car reliance and combat obesity. </w:t>
      </w:r>
    </w:p>
    <w:p w14:paraId="2E5E6CD6" w14:textId="77777777" w:rsidR="004646EF" w:rsidRPr="00586A35" w:rsidRDefault="004646EF" w:rsidP="002163A5">
      <w:pPr>
        <w:pStyle w:val="Para"/>
        <w:rPr>
          <w:lang w:eastAsia="ja-JP"/>
        </w:rPr>
      </w:pP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0ED5E211" w14:textId="5820F20E"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D36DB6" w:rsidRPr="00D36DB6">
        <w:rPr>
          <w:rFonts w:eastAsia="Times New Roman"/>
          <w:szCs w:val="14"/>
        </w:rPr>
        <w:t>U.S. Environmental Protection Agency (EPA). 2021. Walkability Index (Version 3). Data.gov. Retrieved from https://catalog.data.gov/dataset/walkability-index8</w:t>
      </w:r>
    </w:p>
    <w:p w14:paraId="0ED5E213" w14:textId="066935BA" w:rsidR="00D36DB6" w:rsidRPr="00586A35" w:rsidRDefault="00586A35" w:rsidP="00D36DB6">
      <w:pPr>
        <w:pStyle w:val="Bibentry"/>
        <w:rPr>
          <w:szCs w:val="14"/>
          <w14:ligatures w14:val="standard"/>
        </w:rPr>
      </w:pPr>
      <w:r w:rsidRPr="000E64FC">
        <w:rPr>
          <w14:ligatures w14:val="standard"/>
        </w:rPr>
        <w:t>[2]</w:t>
      </w:r>
      <w:r w:rsidR="00BC5BDA" w:rsidRPr="000E64FC">
        <w:rPr>
          <w14:ligatures w14:val="standard"/>
        </w:rPr>
        <w:tab/>
      </w:r>
      <w:r w:rsidR="00D36DB6" w:rsidRPr="00D36DB6">
        <w:t>U.S. Department of Agriculture (USDA), Economic Research Service. 2020. National Obesity by State. Data.gov. Retrieved from https://catalog.data.gov/dataset/national-obesity-by-state-d765a</w:t>
      </w:r>
      <w:bookmarkStart w:id="0" w:name="intm"/>
      <w:bookmarkEnd w:id="0"/>
    </w:p>
    <w:p w14:paraId="0ED5E21F" w14:textId="64E6F9A3" w:rsidR="00586A35" w:rsidRPr="00586A35" w:rsidRDefault="00586A35" w:rsidP="00C14A4F">
      <w:pPr>
        <w:pStyle w:val="MetadataHead"/>
        <w:rPr>
          <w:color w:val="auto"/>
          <w:sz w:val="14"/>
          <w:szCs w:val="14"/>
          <w14:ligatures w14:val="standard"/>
        </w:rPr>
      </w:pPr>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66B0" w14:textId="77777777" w:rsidR="00E746B0" w:rsidRDefault="00E746B0">
      <w:r>
        <w:separator/>
      </w:r>
    </w:p>
  </w:endnote>
  <w:endnote w:type="continuationSeparator" w:id="0">
    <w:p w14:paraId="4FB42768" w14:textId="77777777" w:rsidR="00E746B0" w:rsidRDefault="00E746B0">
      <w:r>
        <w:continuationSeparator/>
      </w:r>
    </w:p>
  </w:endnote>
  <w:endnote w:type="continuationNotice" w:id="1">
    <w:p w14:paraId="5CDFC409" w14:textId="77777777" w:rsidR="00E746B0" w:rsidRDefault="00E746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nux Libertine">
    <w:altName w:val="Times New Roman"/>
    <w:charset w:val="00"/>
    <w:family w:val="auto"/>
    <w:pitch w:val="variable"/>
    <w:sig w:usb0="E0000AFF" w:usb1="5200E5FB" w:usb2="0200002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CCEDB" w14:textId="77777777" w:rsidR="00E746B0" w:rsidRDefault="00E746B0">
      <w:r>
        <w:separator/>
      </w:r>
    </w:p>
  </w:footnote>
  <w:footnote w:type="continuationSeparator" w:id="0">
    <w:p w14:paraId="29199DCB" w14:textId="77777777" w:rsidR="00E746B0" w:rsidRDefault="00E746B0">
      <w:r>
        <w:continuationSeparator/>
      </w:r>
    </w:p>
  </w:footnote>
  <w:footnote w:type="continuationNotice" w:id="1">
    <w:p w14:paraId="33B1E99C" w14:textId="77777777" w:rsidR="00E746B0" w:rsidRDefault="00E746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500" w:type="pct"/>
      <w:tblLook w:val="0000" w:firstRow="0" w:lastRow="0" w:firstColumn="0" w:lastColumn="0" w:noHBand="0" w:noVBand="0"/>
    </w:tblPr>
    <w:tblGrid>
      <w:gridCol w:w="5148"/>
    </w:tblGrid>
    <w:tr w:rsidR="00D30872" w:rsidRPr="00586A35" w14:paraId="0ED5E22C" w14:textId="77777777" w:rsidTr="00D30872">
      <w:tc>
        <w:tcPr>
          <w:tcW w:w="5000" w:type="pct"/>
          <w:vAlign w:val="center"/>
        </w:tcPr>
        <w:p w14:paraId="0ED5E22A" w14:textId="51EA111B" w:rsidR="00D30872" w:rsidRPr="00586A35" w:rsidRDefault="00D30872" w:rsidP="00586A35">
          <w:pPr>
            <w:pStyle w:val="Header"/>
            <w:tabs>
              <w:tab w:val="clear" w:pos="4320"/>
              <w:tab w:val="clear" w:pos="8640"/>
            </w:tabs>
            <w:jc w:val="left"/>
            <w:rPr>
              <w:rFonts w:ascii="Linux Biolinum" w:hAnsi="Linux Biolinum" w:cs="Linux Biolinum"/>
            </w:rPr>
          </w:pPr>
        </w:p>
      </w:tc>
    </w:tr>
  </w:tbl>
  <w:p w14:paraId="0ED5E22D"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6E127991"/>
    <w:multiLevelType w:val="hybridMultilevel"/>
    <w:tmpl w:val="DF08B83E"/>
    <w:lvl w:ilvl="0" w:tplc="E51636A6">
      <w:numFmt w:val="bullet"/>
      <w:lvlText w:val="-"/>
      <w:lvlJc w:val="left"/>
      <w:pPr>
        <w:ind w:left="720" w:hanging="360"/>
      </w:pPr>
      <w:rPr>
        <w:rFonts w:ascii="Linux Libertine" w:eastAsia="SimSun" w:hAnsi="Linux Libertine" w:cs="Linux Libertine"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9"/>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30"/>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 w:numId="32" w16cid:durableId="1175808309">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proofState w:spelling="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D3B51"/>
    <w:rsid w:val="000E118B"/>
    <w:rsid w:val="000E278E"/>
    <w:rsid w:val="000E64FC"/>
    <w:rsid w:val="000E7A87"/>
    <w:rsid w:val="000F6090"/>
    <w:rsid w:val="001010C0"/>
    <w:rsid w:val="001041A3"/>
    <w:rsid w:val="0010534D"/>
    <w:rsid w:val="00121F99"/>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5887"/>
    <w:rsid w:val="001E2720"/>
    <w:rsid w:val="001E71D7"/>
    <w:rsid w:val="0020294A"/>
    <w:rsid w:val="002133C6"/>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B2882"/>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82E2C"/>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655E1"/>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0797E"/>
    <w:rsid w:val="005153AC"/>
    <w:rsid w:val="005160AB"/>
    <w:rsid w:val="00523CD9"/>
    <w:rsid w:val="00536E79"/>
    <w:rsid w:val="00540C55"/>
    <w:rsid w:val="00547687"/>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1CB3"/>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86509"/>
    <w:rsid w:val="0069472B"/>
    <w:rsid w:val="00694749"/>
    <w:rsid w:val="006978B2"/>
    <w:rsid w:val="006A22F6"/>
    <w:rsid w:val="006A29E8"/>
    <w:rsid w:val="006B4623"/>
    <w:rsid w:val="006C4BE3"/>
    <w:rsid w:val="006C5CD3"/>
    <w:rsid w:val="006D0E9B"/>
    <w:rsid w:val="006D2239"/>
    <w:rsid w:val="006E0D12"/>
    <w:rsid w:val="006E4407"/>
    <w:rsid w:val="006E7653"/>
    <w:rsid w:val="006F050A"/>
    <w:rsid w:val="006F1681"/>
    <w:rsid w:val="00701FA6"/>
    <w:rsid w:val="0070306F"/>
    <w:rsid w:val="0070473B"/>
    <w:rsid w:val="0070531E"/>
    <w:rsid w:val="0070609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53A71"/>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567D5"/>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57B5"/>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66145"/>
    <w:rsid w:val="00A739CB"/>
    <w:rsid w:val="00A75047"/>
    <w:rsid w:val="00A779E3"/>
    <w:rsid w:val="00A82659"/>
    <w:rsid w:val="00A8507F"/>
    <w:rsid w:val="00A91E16"/>
    <w:rsid w:val="00A95518"/>
    <w:rsid w:val="00AA10C4"/>
    <w:rsid w:val="00AA57D8"/>
    <w:rsid w:val="00AA5BF1"/>
    <w:rsid w:val="00AA6E2B"/>
    <w:rsid w:val="00AB0733"/>
    <w:rsid w:val="00AB21AA"/>
    <w:rsid w:val="00AB2327"/>
    <w:rsid w:val="00AC4630"/>
    <w:rsid w:val="00AD0294"/>
    <w:rsid w:val="00AD25F3"/>
    <w:rsid w:val="00AD39BA"/>
    <w:rsid w:val="00AE1E64"/>
    <w:rsid w:val="00B13E4F"/>
    <w:rsid w:val="00B14E51"/>
    <w:rsid w:val="00B15A21"/>
    <w:rsid w:val="00B1638F"/>
    <w:rsid w:val="00B25737"/>
    <w:rsid w:val="00B3242F"/>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96F78"/>
    <w:rsid w:val="00CA17C5"/>
    <w:rsid w:val="00CB6709"/>
    <w:rsid w:val="00CC2FE0"/>
    <w:rsid w:val="00CD4663"/>
    <w:rsid w:val="00CE752A"/>
    <w:rsid w:val="00CF2B1E"/>
    <w:rsid w:val="00CF39D4"/>
    <w:rsid w:val="00D04103"/>
    <w:rsid w:val="00D10FD1"/>
    <w:rsid w:val="00D24AA4"/>
    <w:rsid w:val="00D30872"/>
    <w:rsid w:val="00D31EBA"/>
    <w:rsid w:val="00D341FA"/>
    <w:rsid w:val="00D34435"/>
    <w:rsid w:val="00D36DB6"/>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51B27"/>
    <w:rsid w:val="00E71D5C"/>
    <w:rsid w:val="00E746B0"/>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D4FE0"/>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A5963"/>
    <w:rsid w:val="00FB2AFC"/>
    <w:rsid w:val="00FB7A39"/>
    <w:rsid w:val="00FC0E1D"/>
    <w:rsid w:val="00FC3742"/>
    <w:rsid w:val="00FC41AD"/>
    <w:rsid w:val="00FC53DA"/>
    <w:rsid w:val="00FD16A9"/>
    <w:rsid w:val="00FE4758"/>
    <w:rsid w:val="00FF004E"/>
    <w:rsid w:val="00FF0E35"/>
    <w:rsid w:val="00FF0E49"/>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D36D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gaynorc2@wit.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1203</TotalTime>
  <Pages>3</Pages>
  <Words>1706</Words>
  <Characters>9251</Characters>
  <Application>Microsoft Office Word</Application>
  <DocSecurity>0</DocSecurity>
  <Lines>237</Lines>
  <Paragraphs>101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10856</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Cole Gaynor</cp:lastModifiedBy>
  <cp:revision>31</cp:revision>
  <cp:lastPrinted>2018-05-22T11:24:00Z</cp:lastPrinted>
  <dcterms:created xsi:type="dcterms:W3CDTF">2019-10-29T19:38:00Z</dcterms:created>
  <dcterms:modified xsi:type="dcterms:W3CDTF">2025-12-08T11:55:00Z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