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F6" w:rsidRDefault="00F406F6"/>
    <w:tbl>
      <w:tblPr>
        <w:tblStyle w:val="Science2"/>
        <w:tblW w:w="9828" w:type="dxa"/>
        <w:tblLook w:val="04A0" w:firstRow="1" w:lastRow="0" w:firstColumn="1" w:lastColumn="0" w:noHBand="0" w:noVBand="1"/>
      </w:tblPr>
      <w:tblGrid>
        <w:gridCol w:w="1638"/>
        <w:gridCol w:w="3420"/>
        <w:gridCol w:w="4770"/>
      </w:tblGrid>
      <w:tr w:rsidR="00F406F6" w:rsidTr="00762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8" w:type="dxa"/>
          </w:tcPr>
          <w:p w:rsidR="00F406F6" w:rsidRPr="00762BF8" w:rsidRDefault="00762BF8" w:rsidP="00F406F6">
            <w:pPr>
              <w:rPr>
                <w:b/>
              </w:rPr>
            </w:pPr>
            <w:r w:rsidRPr="00762BF8">
              <w:rPr>
                <w:b/>
                <w:vertAlign w:val="subscript"/>
              </w:rPr>
              <w:softHyphen/>
            </w:r>
            <w:r w:rsidRPr="00762BF8">
              <w:rPr>
                <w:b/>
              </w:rPr>
              <w:t>Example</w:t>
            </w:r>
          </w:p>
        </w:tc>
        <w:tc>
          <w:tcPr>
            <w:tcW w:w="3420" w:type="dxa"/>
          </w:tcPr>
          <w:p w:rsidR="00F406F6" w:rsidRPr="00762BF8" w:rsidRDefault="00F406F6">
            <w:pPr>
              <w:rPr>
                <w:b/>
              </w:rPr>
            </w:pPr>
            <w:r w:rsidRPr="00762BF8">
              <w:rPr>
                <w:b/>
              </w:rPr>
              <w:t>Key Format Features</w:t>
            </w:r>
          </w:p>
        </w:tc>
        <w:tc>
          <w:tcPr>
            <w:tcW w:w="4770" w:type="dxa"/>
          </w:tcPr>
          <w:p w:rsidR="00F406F6" w:rsidRPr="00762BF8" w:rsidRDefault="00F406F6">
            <w:pPr>
              <w:rPr>
                <w:b/>
              </w:rPr>
            </w:pPr>
            <w:r w:rsidRPr="00762BF8">
              <w:rPr>
                <w:b/>
              </w:rPr>
              <w:t>Element</w:t>
            </w:r>
          </w:p>
        </w:tc>
      </w:tr>
      <w:tr w:rsidR="00F406F6" w:rsidTr="00762BF8">
        <w:tc>
          <w:tcPr>
            <w:tcW w:w="1638" w:type="dxa"/>
          </w:tcPr>
          <w:p w:rsidR="00F406F6" w:rsidRPr="00F406F6" w:rsidRDefault="00F406F6">
            <w:pPr>
              <w:rPr>
                <w:i/>
              </w:rPr>
            </w:pPr>
            <w:r>
              <w:rPr>
                <w:i/>
              </w:rPr>
              <w:t>Specie</w:t>
            </w:r>
            <w:r w:rsidR="00D83BA4">
              <w:rPr>
                <w:i/>
              </w:rPr>
              <w:softHyphen/>
            </w:r>
            <w:r>
              <w:rPr>
                <w:i/>
              </w:rPr>
              <w:t xml:space="preserve">s name </w:t>
            </w:r>
            <w:r w:rsidR="00762BF8">
              <w:rPr>
                <w:i/>
              </w:rPr>
              <w:br/>
            </w:r>
            <w:r>
              <w:t xml:space="preserve">or </w:t>
            </w:r>
            <w:r>
              <w:rPr>
                <w:i/>
              </w:rPr>
              <w:t>S. name</w:t>
            </w:r>
          </w:p>
        </w:tc>
        <w:tc>
          <w:tcPr>
            <w:tcW w:w="3420" w:type="dxa"/>
          </w:tcPr>
          <w:p w:rsidR="00F406F6" w:rsidRDefault="00F406F6" w:rsidP="00F406F6">
            <w:r>
              <w:t>Genus (</w:t>
            </w:r>
            <w:r w:rsidRPr="00F406F6">
              <w:rPr>
                <w:i/>
              </w:rPr>
              <w:t>“</w:t>
            </w:r>
            <w:r>
              <w:rPr>
                <w:i/>
              </w:rPr>
              <w:t>Species</w:t>
            </w:r>
            <w:r>
              <w:t>”) is capitalized</w:t>
            </w:r>
          </w:p>
          <w:p w:rsidR="00F406F6" w:rsidRDefault="00F406F6" w:rsidP="00F406F6">
            <w:proofErr w:type="gramStart"/>
            <w:r>
              <w:t>species</w:t>
            </w:r>
            <w:proofErr w:type="gramEnd"/>
            <w:r>
              <w:t xml:space="preserve"> (“</w:t>
            </w:r>
            <w:r>
              <w:rPr>
                <w:i/>
              </w:rPr>
              <w:t>name</w:t>
            </w:r>
            <w:r>
              <w:t xml:space="preserve">”) is lowercase.  </w:t>
            </w:r>
          </w:p>
          <w:p w:rsidR="00F406F6" w:rsidRPr="00F406F6" w:rsidRDefault="00F406F6" w:rsidP="00F406F6">
            <w:r>
              <w:t>italicized or underlined</w:t>
            </w:r>
          </w:p>
        </w:tc>
        <w:tc>
          <w:tcPr>
            <w:tcW w:w="4770" w:type="dxa"/>
          </w:tcPr>
          <w:p w:rsidR="00F406F6" w:rsidRPr="00762BF8" w:rsidRDefault="00762BF8" w:rsidP="00F406F6">
            <w:r>
              <w:t xml:space="preserve">Scientific name for an organism.  A strain name may follow e.g. </w:t>
            </w:r>
            <w:r>
              <w:rPr>
                <w:i/>
              </w:rPr>
              <w:t>E. coli</w:t>
            </w:r>
            <w:r>
              <w:t xml:space="preserve"> K12</w:t>
            </w:r>
          </w:p>
        </w:tc>
      </w:tr>
      <w:tr w:rsidR="00F406F6" w:rsidTr="00762BF8">
        <w:tc>
          <w:tcPr>
            <w:tcW w:w="1638" w:type="dxa"/>
          </w:tcPr>
          <w:p w:rsidR="00F406F6" w:rsidRPr="00F406F6" w:rsidRDefault="00F406F6">
            <w:pPr>
              <w:rPr>
                <w:i/>
              </w:rPr>
            </w:pPr>
            <w:proofErr w:type="spellStart"/>
            <w:r>
              <w:rPr>
                <w:i/>
              </w:rPr>
              <w:t>genE</w:t>
            </w:r>
            <w:proofErr w:type="spellEnd"/>
          </w:p>
        </w:tc>
        <w:tc>
          <w:tcPr>
            <w:tcW w:w="3420" w:type="dxa"/>
          </w:tcPr>
          <w:p w:rsidR="00F406F6" w:rsidRDefault="00F406F6" w:rsidP="00F406F6">
            <w:proofErr w:type="gramStart"/>
            <w:r>
              <w:t>lowercase</w:t>
            </w:r>
            <w:proofErr w:type="gramEnd"/>
            <w:r>
              <w:t xml:space="preserve"> fo</w:t>
            </w:r>
            <w:r>
              <w:t xml:space="preserve">r 3 letters, then uppercase.  </w:t>
            </w:r>
          </w:p>
          <w:p w:rsidR="00F406F6" w:rsidRDefault="00F406F6" w:rsidP="00F406F6">
            <w:r>
              <w:t>italicized or underlined</w:t>
            </w:r>
          </w:p>
        </w:tc>
        <w:tc>
          <w:tcPr>
            <w:tcW w:w="4770" w:type="dxa"/>
          </w:tcPr>
          <w:p w:rsidR="00F406F6" w:rsidRDefault="00F406F6" w:rsidP="00F406F6">
            <w:r>
              <w:t xml:space="preserve">Genes (DNA).  </w:t>
            </w:r>
          </w:p>
        </w:tc>
      </w:tr>
      <w:tr w:rsidR="00F406F6" w:rsidTr="00762BF8">
        <w:tc>
          <w:tcPr>
            <w:tcW w:w="1638" w:type="dxa"/>
          </w:tcPr>
          <w:p w:rsidR="00F406F6" w:rsidRDefault="00F406F6">
            <w:proofErr w:type="spellStart"/>
            <w:r>
              <w:t>GenE</w:t>
            </w:r>
            <w:proofErr w:type="spellEnd"/>
          </w:p>
        </w:tc>
        <w:tc>
          <w:tcPr>
            <w:tcW w:w="3420" w:type="dxa"/>
          </w:tcPr>
          <w:p w:rsidR="00F406F6" w:rsidRDefault="00F406F6">
            <w:r>
              <w:t>1</w:t>
            </w:r>
            <w:r w:rsidRPr="00F406F6">
              <w:rPr>
                <w:vertAlign w:val="superscript"/>
              </w:rPr>
              <w:t>st</w:t>
            </w:r>
            <w:r>
              <w:t xml:space="preserve"> letter is uppercase.  </w:t>
            </w:r>
          </w:p>
          <w:p w:rsidR="00F406F6" w:rsidRDefault="00F406F6">
            <w:r>
              <w:t>Not italicized</w:t>
            </w:r>
          </w:p>
        </w:tc>
        <w:tc>
          <w:tcPr>
            <w:tcW w:w="4770" w:type="dxa"/>
          </w:tcPr>
          <w:p w:rsidR="00F406F6" w:rsidRPr="00F406F6" w:rsidRDefault="00F406F6">
            <w:r>
              <w:t xml:space="preserve">Protein </w:t>
            </w:r>
            <w:proofErr w:type="spellStart"/>
            <w:r>
              <w:t>GenE</w:t>
            </w:r>
            <w:proofErr w:type="spellEnd"/>
            <w:r>
              <w:t xml:space="preserve"> is encoded by </w:t>
            </w:r>
            <w:proofErr w:type="spellStart"/>
            <w:r>
              <w:rPr>
                <w:i/>
              </w:rPr>
              <w:t>genE</w:t>
            </w:r>
            <w:proofErr w:type="spellEnd"/>
            <w:r>
              <w:t xml:space="preserve"> on DNA</w:t>
            </w:r>
          </w:p>
        </w:tc>
      </w:tr>
      <w:tr w:rsidR="00F406F6" w:rsidTr="00762BF8">
        <w:tc>
          <w:tcPr>
            <w:tcW w:w="1638" w:type="dxa"/>
          </w:tcPr>
          <w:p w:rsidR="00F406F6" w:rsidRPr="00F406F6" w:rsidRDefault="00F406F6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P</w:t>
            </w:r>
            <w:r>
              <w:softHyphen/>
            </w:r>
            <w:r>
              <w:rPr>
                <w:i/>
                <w:vertAlign w:val="subscript"/>
              </w:rPr>
              <w:t>genE</w:t>
            </w:r>
            <w:proofErr w:type="spellEnd"/>
          </w:p>
        </w:tc>
        <w:tc>
          <w:tcPr>
            <w:tcW w:w="3420" w:type="dxa"/>
          </w:tcPr>
          <w:p w:rsidR="00F406F6" w:rsidRDefault="00F406F6">
            <w:r>
              <w:t>Capitol “P” = Promoter</w:t>
            </w:r>
          </w:p>
          <w:p w:rsidR="00F406F6" w:rsidRDefault="00F406F6">
            <w:r>
              <w:t>Subscript/italicized gene name</w:t>
            </w:r>
          </w:p>
        </w:tc>
        <w:tc>
          <w:tcPr>
            <w:tcW w:w="4770" w:type="dxa"/>
          </w:tcPr>
          <w:p w:rsidR="00F406F6" w:rsidRPr="00F406F6" w:rsidRDefault="00F406F6">
            <w:pPr>
              <w:rPr>
                <w:i/>
              </w:rPr>
            </w:pPr>
            <w:r>
              <w:t xml:space="preserve">Promoter for </w:t>
            </w:r>
            <w:proofErr w:type="spellStart"/>
            <w:r>
              <w:rPr>
                <w:i/>
              </w:rPr>
              <w:t>genE</w:t>
            </w:r>
            <w:proofErr w:type="spellEnd"/>
          </w:p>
        </w:tc>
      </w:tr>
      <w:tr w:rsidR="00F406F6" w:rsidTr="00762BF8">
        <w:tc>
          <w:tcPr>
            <w:tcW w:w="1638" w:type="dxa"/>
          </w:tcPr>
          <w:p w:rsidR="00F406F6" w:rsidRPr="00F406F6" w:rsidRDefault="00F406F6">
            <w:pPr>
              <w:rPr>
                <w:i/>
              </w:rPr>
            </w:pPr>
            <w:proofErr w:type="spellStart"/>
            <w:r>
              <w:rPr>
                <w:i/>
              </w:rPr>
              <w:t>P</w:t>
            </w:r>
            <w:r>
              <w:softHyphen/>
            </w:r>
            <w:r>
              <w:rPr>
                <w:i/>
                <w:vertAlign w:val="subscript"/>
              </w:rPr>
              <w:t>genE</w:t>
            </w:r>
            <w:r>
              <w:t>-</w:t>
            </w:r>
            <w:r>
              <w:rPr>
                <w:i/>
              </w:rPr>
              <w:t>proT</w:t>
            </w:r>
            <w:proofErr w:type="spellEnd"/>
          </w:p>
        </w:tc>
        <w:tc>
          <w:tcPr>
            <w:tcW w:w="3420" w:type="dxa"/>
          </w:tcPr>
          <w:p w:rsidR="00F406F6" w:rsidRDefault="00F406F6" w:rsidP="00F406F6"/>
        </w:tc>
        <w:tc>
          <w:tcPr>
            <w:tcW w:w="4770" w:type="dxa"/>
          </w:tcPr>
          <w:p w:rsidR="00F406F6" w:rsidRPr="00F406F6" w:rsidRDefault="00F406F6">
            <w:r>
              <w:t xml:space="preserve">The promoter for </w:t>
            </w:r>
            <w:proofErr w:type="spellStart"/>
            <w:r>
              <w:rPr>
                <w:i/>
              </w:rPr>
              <w:t>genE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is used to express the gene </w:t>
            </w:r>
            <w:proofErr w:type="spellStart"/>
            <w:r>
              <w:rPr>
                <w:i/>
              </w:rPr>
              <w:t>proT</w:t>
            </w:r>
            <w:r>
              <w:t>.</w:t>
            </w:r>
            <w:proofErr w:type="spellEnd"/>
            <w:r>
              <w:t xml:space="preserve">  This is a “transcriptional fusion”</w:t>
            </w:r>
          </w:p>
        </w:tc>
      </w:tr>
      <w:tr w:rsidR="00F406F6" w:rsidTr="00762BF8">
        <w:tc>
          <w:tcPr>
            <w:tcW w:w="1638" w:type="dxa"/>
          </w:tcPr>
          <w:p w:rsidR="00F406F6" w:rsidRDefault="00F406F6">
            <w:proofErr w:type="spellStart"/>
            <w:r>
              <w:t>pGenE</w:t>
            </w:r>
            <w:proofErr w:type="spellEnd"/>
          </w:p>
        </w:tc>
        <w:tc>
          <w:tcPr>
            <w:tcW w:w="3420" w:type="dxa"/>
          </w:tcPr>
          <w:p w:rsidR="00F406F6" w:rsidRDefault="00F406F6" w:rsidP="00F406F6">
            <w:r>
              <w:t xml:space="preserve">lowercase “p” </w:t>
            </w:r>
          </w:p>
        </w:tc>
        <w:tc>
          <w:tcPr>
            <w:tcW w:w="4770" w:type="dxa"/>
          </w:tcPr>
          <w:p w:rsidR="00F406F6" w:rsidRDefault="00F406F6">
            <w:r>
              <w:t xml:space="preserve">A plasmid that has something to do with </w:t>
            </w:r>
            <w:proofErr w:type="spellStart"/>
            <w:r>
              <w:t>GenE</w:t>
            </w:r>
            <w:proofErr w:type="spellEnd"/>
            <w:r>
              <w:t xml:space="preserve"> (hopefully the paper will define it better)</w:t>
            </w:r>
          </w:p>
        </w:tc>
      </w:tr>
      <w:tr w:rsidR="00D95C4D" w:rsidTr="00762BF8">
        <w:tc>
          <w:tcPr>
            <w:tcW w:w="1638" w:type="dxa"/>
          </w:tcPr>
          <w:p w:rsidR="00D95C4D" w:rsidRDefault="00D95C4D" w:rsidP="00852E18">
            <w:r>
              <w:t>Wildtype or WT</w:t>
            </w:r>
          </w:p>
        </w:tc>
        <w:tc>
          <w:tcPr>
            <w:tcW w:w="3420" w:type="dxa"/>
          </w:tcPr>
          <w:p w:rsidR="00D95C4D" w:rsidRDefault="00D95C4D" w:rsidP="00852E18"/>
        </w:tc>
        <w:tc>
          <w:tcPr>
            <w:tcW w:w="4770" w:type="dxa"/>
          </w:tcPr>
          <w:p w:rsidR="00D95C4D" w:rsidRDefault="00D95C4D" w:rsidP="00852E18">
            <w:r>
              <w:t xml:space="preserve">The “parent” version of the bacteria.  Wildtype is somewhat randomly decided.  But mutants are usually made by changing a WT in some way.  </w:t>
            </w:r>
          </w:p>
        </w:tc>
      </w:tr>
      <w:tr w:rsidR="00D95C4D" w:rsidTr="00762BF8">
        <w:tc>
          <w:tcPr>
            <w:tcW w:w="1638" w:type="dxa"/>
          </w:tcPr>
          <w:p w:rsidR="00D95C4D" w:rsidRPr="00D95C4D" w:rsidRDefault="00D95C4D" w:rsidP="00852E18">
            <w:proofErr w:type="spellStart"/>
            <w:r>
              <w:rPr>
                <w:rFonts w:ascii="Calibri" w:hAnsi="Calibri"/>
              </w:rPr>
              <w:t>Δ</w:t>
            </w:r>
            <w:r w:rsidRPr="00D95C4D">
              <w:rPr>
                <w:i/>
              </w:rPr>
              <w:t>genE</w:t>
            </w:r>
            <w:proofErr w:type="spellEnd"/>
            <w:r>
              <w:rPr>
                <w:i/>
              </w:rPr>
              <w:t xml:space="preserve"> </w:t>
            </w:r>
            <w:r>
              <w:t>strain</w:t>
            </w:r>
          </w:p>
        </w:tc>
        <w:tc>
          <w:tcPr>
            <w:tcW w:w="3420" w:type="dxa"/>
          </w:tcPr>
          <w:p w:rsidR="00D95C4D" w:rsidRDefault="00D95C4D" w:rsidP="00852E18">
            <w:r>
              <w:rPr>
                <w:rFonts w:ascii="Calibri" w:hAnsi="Calibri"/>
              </w:rPr>
              <w:t>Δ</w:t>
            </w:r>
            <w:r>
              <w:rPr>
                <w:rFonts w:ascii="Calibri" w:hAnsi="Calibri"/>
              </w:rPr>
              <w:t xml:space="preserve"> (capitol delta)</w:t>
            </w:r>
          </w:p>
        </w:tc>
        <w:tc>
          <w:tcPr>
            <w:tcW w:w="4770" w:type="dxa"/>
          </w:tcPr>
          <w:p w:rsidR="00D95C4D" w:rsidRPr="00D95C4D" w:rsidRDefault="00D95C4D" w:rsidP="00852E18">
            <w:r>
              <w:t xml:space="preserve">This is a mutant with </w:t>
            </w:r>
            <w:proofErr w:type="spellStart"/>
            <w:r>
              <w:rPr>
                <w:i/>
              </w:rPr>
              <w:t>genE</w:t>
            </w:r>
            <w:proofErr w:type="spellEnd"/>
            <w:r>
              <w:t xml:space="preserve"> deleted</w:t>
            </w:r>
          </w:p>
        </w:tc>
      </w:tr>
      <w:tr w:rsidR="00D83BA4" w:rsidTr="00762BF8">
        <w:tc>
          <w:tcPr>
            <w:tcW w:w="1638" w:type="dxa"/>
          </w:tcPr>
          <w:p w:rsidR="00D83BA4" w:rsidRDefault="00D83BA4" w:rsidP="00852E18">
            <w:proofErr w:type="spellStart"/>
            <w:r w:rsidRPr="00D95C4D">
              <w:rPr>
                <w:i/>
              </w:rPr>
              <w:t>genE</w:t>
            </w:r>
            <w:proofErr w:type="spellEnd"/>
            <w:r>
              <w:rPr>
                <w:i/>
              </w:rPr>
              <w:t xml:space="preserve"> </w:t>
            </w:r>
            <w:r>
              <w:t>strain</w:t>
            </w:r>
          </w:p>
        </w:tc>
        <w:tc>
          <w:tcPr>
            <w:tcW w:w="3420" w:type="dxa"/>
          </w:tcPr>
          <w:p w:rsidR="00D83BA4" w:rsidRDefault="00D83BA4" w:rsidP="00852E18">
            <w:r>
              <w:t>Gene name followed by “strain”</w:t>
            </w:r>
          </w:p>
        </w:tc>
        <w:tc>
          <w:tcPr>
            <w:tcW w:w="4770" w:type="dxa"/>
          </w:tcPr>
          <w:p w:rsidR="00D83BA4" w:rsidRPr="00D83BA4" w:rsidRDefault="00D83BA4" w:rsidP="00852E18">
            <w:r>
              <w:t xml:space="preserve">This is a strain with </w:t>
            </w:r>
            <w:proofErr w:type="spellStart"/>
            <w:r>
              <w:rPr>
                <w:i/>
              </w:rPr>
              <w:t>genE</w:t>
            </w:r>
            <w:proofErr w:type="spellEnd"/>
            <w:r>
              <w:t xml:space="preserve"> mutated in some way.  This isn’t the most accurate notation but some people choose it because it helps readability. </w:t>
            </w:r>
          </w:p>
        </w:tc>
      </w:tr>
      <w:tr w:rsidR="00D83BA4" w:rsidTr="00762BF8">
        <w:tc>
          <w:tcPr>
            <w:tcW w:w="1638" w:type="dxa"/>
          </w:tcPr>
          <w:p w:rsidR="00D83BA4" w:rsidRPr="00D95C4D" w:rsidRDefault="00D83BA4" w:rsidP="00852E18">
            <w:proofErr w:type="spellStart"/>
            <w:r>
              <w:rPr>
                <w:rFonts w:ascii="Calibri" w:hAnsi="Calibri"/>
                <w:i/>
              </w:rPr>
              <w:t>genE</w:t>
            </w:r>
            <w:proofErr w:type="spellEnd"/>
            <w:r>
              <w:rPr>
                <w:rFonts w:ascii="Calibri" w:hAnsi="Calibri"/>
              </w:rPr>
              <w:t>::</w:t>
            </w:r>
            <w:r>
              <w:rPr>
                <w:rFonts w:ascii="Calibri" w:hAnsi="Calibri"/>
              </w:rPr>
              <w:t>Tn7</w:t>
            </w:r>
          </w:p>
        </w:tc>
        <w:tc>
          <w:tcPr>
            <w:tcW w:w="3420" w:type="dxa"/>
          </w:tcPr>
          <w:p w:rsidR="00D83BA4" w:rsidRDefault="00D83BA4" w:rsidP="00852E18">
            <w:r>
              <w:t>Gene name</w:t>
            </w:r>
          </w:p>
          <w:p w:rsidR="00D83BA4" w:rsidRDefault="00D83BA4" w:rsidP="00852E18">
            <w:r>
              <w:t>::</w:t>
            </w:r>
          </w:p>
          <w:p w:rsidR="00D83BA4" w:rsidRDefault="00D83BA4" w:rsidP="00852E18">
            <w:r>
              <w:t>Tn7</w:t>
            </w:r>
          </w:p>
        </w:tc>
        <w:tc>
          <w:tcPr>
            <w:tcW w:w="4770" w:type="dxa"/>
          </w:tcPr>
          <w:p w:rsidR="00D83BA4" w:rsidRDefault="00D83BA4" w:rsidP="00852E18">
            <w:proofErr w:type="spellStart"/>
            <w:proofErr w:type="gramStart"/>
            <w:r>
              <w:rPr>
                <w:i/>
              </w:rPr>
              <w:t>genE</w:t>
            </w:r>
            <w:proofErr w:type="spellEnd"/>
            <w:proofErr w:type="gramEnd"/>
            <w:r>
              <w:t xml:space="preserve">:: indicates that the </w:t>
            </w:r>
            <w:proofErr w:type="spellStart"/>
            <w:r>
              <w:rPr>
                <w:i/>
              </w:rPr>
              <w:t>genE</w:t>
            </w:r>
            <w:proofErr w:type="spellEnd"/>
            <w:r>
              <w:rPr>
                <w:i/>
              </w:rPr>
              <w:t xml:space="preserve"> </w:t>
            </w:r>
            <w:r>
              <w:t>gene sequence is interrupted by some other type of DNA sequence.</w:t>
            </w:r>
          </w:p>
          <w:p w:rsidR="00D83BA4" w:rsidRDefault="00D83BA4" w:rsidP="00852E18">
            <w:r>
              <w:t>“</w:t>
            </w:r>
            <w:proofErr w:type="spellStart"/>
            <w:r>
              <w:t>Tn</w:t>
            </w:r>
            <w:proofErr w:type="spellEnd"/>
            <w:r>
              <w:t>” means transposon</w:t>
            </w:r>
          </w:p>
          <w:p w:rsidR="00D83BA4" w:rsidRPr="00D95C4D" w:rsidRDefault="00D83BA4" w:rsidP="00852E18">
            <w:r>
              <w:t>This can refer to the actual mutation (</w:t>
            </w:r>
            <w:proofErr w:type="spellStart"/>
            <w:r>
              <w:rPr>
                <w:rFonts w:ascii="Calibri" w:hAnsi="Calibri"/>
                <w:i/>
              </w:rPr>
              <w:t>genE</w:t>
            </w:r>
            <w:proofErr w:type="spellEnd"/>
            <w:r>
              <w:rPr>
                <w:rFonts w:ascii="Calibri" w:hAnsi="Calibri"/>
              </w:rPr>
              <w:t>::Tn7</w:t>
            </w:r>
            <w:r>
              <w:rPr>
                <w:rFonts w:ascii="Calibri" w:hAnsi="Calibri"/>
              </w:rPr>
              <w:t xml:space="preserve">) </w:t>
            </w:r>
            <w:r>
              <w:t>or the strain</w:t>
            </w:r>
            <w:r w:rsidR="00762BF8">
              <w:t xml:space="preserve"> (</w:t>
            </w:r>
            <w:proofErr w:type="spellStart"/>
            <w:r w:rsidR="00762BF8">
              <w:rPr>
                <w:rFonts w:ascii="Calibri" w:hAnsi="Calibri"/>
                <w:i/>
              </w:rPr>
              <w:t>genE</w:t>
            </w:r>
            <w:proofErr w:type="spellEnd"/>
            <w:r w:rsidR="00762BF8">
              <w:rPr>
                <w:rFonts w:ascii="Calibri" w:hAnsi="Calibri"/>
              </w:rPr>
              <w:t>::Tn7</w:t>
            </w:r>
            <w:r w:rsidR="00762BF8">
              <w:rPr>
                <w:rFonts w:ascii="Calibri" w:hAnsi="Calibri"/>
              </w:rPr>
              <w:t xml:space="preserve"> strain)</w:t>
            </w:r>
          </w:p>
        </w:tc>
      </w:tr>
      <w:tr w:rsidR="00D83BA4" w:rsidTr="00762BF8">
        <w:tc>
          <w:tcPr>
            <w:tcW w:w="1638" w:type="dxa"/>
          </w:tcPr>
          <w:p w:rsidR="00D83BA4" w:rsidRPr="00762BF8" w:rsidRDefault="00762BF8">
            <w:pPr>
              <w:rPr>
                <w:vertAlign w:val="superscript"/>
              </w:rPr>
            </w:pPr>
            <w:proofErr w:type="spellStart"/>
            <w:r w:rsidRPr="00D95C4D">
              <w:rPr>
                <w:i/>
              </w:rPr>
              <w:t>genE</w:t>
            </w:r>
            <w:proofErr w:type="spellEnd"/>
            <w:r>
              <w:rPr>
                <w:i/>
                <w:vertAlign w:val="superscript"/>
              </w:rPr>
              <w:t>+</w:t>
            </w:r>
          </w:p>
        </w:tc>
        <w:tc>
          <w:tcPr>
            <w:tcW w:w="3420" w:type="dxa"/>
          </w:tcPr>
          <w:p w:rsidR="00D83BA4" w:rsidRDefault="00762BF8">
            <w:r>
              <w:t>Gene with superscript +</w:t>
            </w:r>
          </w:p>
        </w:tc>
        <w:tc>
          <w:tcPr>
            <w:tcW w:w="4770" w:type="dxa"/>
          </w:tcPr>
          <w:p w:rsidR="00D83BA4" w:rsidRPr="00D83BA4" w:rsidRDefault="00762BF8" w:rsidP="00D83BA4">
            <w:r>
              <w:t>Wildtype allele of the gene</w:t>
            </w:r>
          </w:p>
        </w:tc>
      </w:tr>
      <w:tr w:rsidR="00D83BA4" w:rsidTr="00762BF8">
        <w:tc>
          <w:tcPr>
            <w:tcW w:w="1638" w:type="dxa"/>
          </w:tcPr>
          <w:p w:rsidR="00D83BA4" w:rsidRPr="00D95C4D" w:rsidRDefault="00762BF8">
            <w:proofErr w:type="spellStart"/>
            <w:r w:rsidRPr="00D95C4D">
              <w:rPr>
                <w:i/>
              </w:rPr>
              <w:t>genE</w:t>
            </w:r>
            <w:proofErr w:type="spellEnd"/>
            <w:r>
              <w:rPr>
                <w:i/>
                <w:vertAlign w:val="superscript"/>
              </w:rPr>
              <w:t>-</w:t>
            </w:r>
          </w:p>
        </w:tc>
        <w:tc>
          <w:tcPr>
            <w:tcW w:w="3420" w:type="dxa"/>
          </w:tcPr>
          <w:p w:rsidR="00D83BA4" w:rsidRDefault="00762BF8">
            <w:r>
              <w:t>Gene with superscript -</w:t>
            </w:r>
          </w:p>
        </w:tc>
        <w:tc>
          <w:tcPr>
            <w:tcW w:w="4770" w:type="dxa"/>
          </w:tcPr>
          <w:p w:rsidR="00D83BA4" w:rsidRPr="00D95C4D" w:rsidRDefault="00762BF8" w:rsidP="00D95C4D">
            <w:r>
              <w:t>Mutant allele of the gene</w:t>
            </w:r>
          </w:p>
        </w:tc>
      </w:tr>
      <w:tr w:rsidR="00762BF8" w:rsidTr="00762BF8">
        <w:tc>
          <w:tcPr>
            <w:tcW w:w="1638" w:type="dxa"/>
          </w:tcPr>
          <w:p w:rsidR="00762BF8" w:rsidRPr="00D95C4D" w:rsidRDefault="00762BF8" w:rsidP="00852E18">
            <w:pPr>
              <w:rPr>
                <w:vertAlign w:val="superscript"/>
              </w:rPr>
            </w:pPr>
            <w:r>
              <w:t>Kan</w:t>
            </w:r>
            <w:r>
              <w:rPr>
                <w:vertAlign w:val="superscript"/>
              </w:rPr>
              <w:t>R</w:t>
            </w:r>
          </w:p>
        </w:tc>
        <w:tc>
          <w:tcPr>
            <w:tcW w:w="3420" w:type="dxa"/>
          </w:tcPr>
          <w:p w:rsidR="00762BF8" w:rsidRDefault="00762BF8" w:rsidP="00852E18">
            <w:r>
              <w:t>Looks like a protein, but there’s something superscripted…</w:t>
            </w:r>
          </w:p>
        </w:tc>
        <w:tc>
          <w:tcPr>
            <w:tcW w:w="4770" w:type="dxa"/>
          </w:tcPr>
          <w:p w:rsidR="00762BF8" w:rsidRDefault="00762BF8" w:rsidP="00852E18">
            <w:r>
              <w:t xml:space="preserve">This is a phenotype.  In this case, resistance to the antibiotic kanamycin. </w:t>
            </w:r>
          </w:p>
        </w:tc>
      </w:tr>
      <w:tr w:rsidR="00762BF8" w:rsidTr="00762BF8">
        <w:tc>
          <w:tcPr>
            <w:tcW w:w="1638" w:type="dxa"/>
          </w:tcPr>
          <w:p w:rsidR="00762BF8" w:rsidRPr="00D95C4D" w:rsidRDefault="00762BF8" w:rsidP="00852E18">
            <w:pPr>
              <w:rPr>
                <w:vertAlign w:val="superscript"/>
              </w:rPr>
            </w:pPr>
            <w:r>
              <w:t>His</w:t>
            </w:r>
            <w:r>
              <w:rPr>
                <w:vertAlign w:val="superscript"/>
              </w:rPr>
              <w:t>+</w:t>
            </w:r>
          </w:p>
        </w:tc>
        <w:tc>
          <w:tcPr>
            <w:tcW w:w="3420" w:type="dxa"/>
          </w:tcPr>
          <w:p w:rsidR="00762BF8" w:rsidRDefault="00762BF8" w:rsidP="00852E18">
            <w:r>
              <w:t>^</w:t>
            </w:r>
          </w:p>
        </w:tc>
        <w:tc>
          <w:tcPr>
            <w:tcW w:w="4770" w:type="dxa"/>
          </w:tcPr>
          <w:p w:rsidR="00762BF8" w:rsidRPr="00D95C4D" w:rsidRDefault="00762BF8" w:rsidP="00852E18">
            <w:r>
              <w:t xml:space="preserve">Also a phenotype.  Phenotypes that involved the use of a nutrient source (e.g. Histidine) are usually given in </w:t>
            </w:r>
            <w:r>
              <w:rPr>
                <w:vertAlign w:val="superscript"/>
              </w:rPr>
              <w:t>+</w:t>
            </w:r>
            <w:r>
              <w:t>/</w:t>
            </w:r>
            <w:r>
              <w:rPr>
                <w:vertAlign w:val="superscript"/>
              </w:rPr>
              <w:t>-</w:t>
            </w:r>
            <w:r>
              <w:t xml:space="preserve"> notation</w:t>
            </w:r>
          </w:p>
        </w:tc>
      </w:tr>
    </w:tbl>
    <w:p w:rsidR="0032136C" w:rsidRDefault="0032136C"/>
    <w:p w:rsidR="00D95C4D" w:rsidRDefault="00D95C4D">
      <w:r>
        <w:lastRenderedPageBreak/>
        <w:t>Less common notations that you will probably run into:</w:t>
      </w:r>
    </w:p>
    <w:tbl>
      <w:tblPr>
        <w:tblStyle w:val="Science2"/>
        <w:tblW w:w="9828" w:type="dxa"/>
        <w:tblLook w:val="04A0" w:firstRow="1" w:lastRow="0" w:firstColumn="1" w:lastColumn="0" w:noHBand="0" w:noVBand="1"/>
      </w:tblPr>
      <w:tblGrid>
        <w:gridCol w:w="2988"/>
        <w:gridCol w:w="6840"/>
      </w:tblGrid>
      <w:tr w:rsidR="00D95C4D" w:rsidTr="00D95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8" w:type="dxa"/>
          </w:tcPr>
          <w:p w:rsidR="00D95C4D" w:rsidRDefault="00D95C4D" w:rsidP="00852E18">
            <w:r>
              <w:t>‘</w:t>
            </w:r>
            <w:proofErr w:type="spellStart"/>
            <w:r>
              <w:t>GenE</w:t>
            </w:r>
            <w:proofErr w:type="spellEnd"/>
          </w:p>
        </w:tc>
        <w:tc>
          <w:tcPr>
            <w:tcW w:w="6840" w:type="dxa"/>
          </w:tcPr>
          <w:p w:rsidR="00D95C4D" w:rsidRDefault="00D95C4D" w:rsidP="00852E18">
            <w:r>
              <w:t>The apostrophe indicates that the protein is missing the N-terminus (beginning)</w:t>
            </w:r>
          </w:p>
        </w:tc>
      </w:tr>
      <w:tr w:rsidR="00D95C4D" w:rsidTr="00D95C4D">
        <w:tc>
          <w:tcPr>
            <w:tcW w:w="2988" w:type="dxa"/>
          </w:tcPr>
          <w:p w:rsidR="00D95C4D" w:rsidRDefault="00D95C4D" w:rsidP="00852E18">
            <w:proofErr w:type="spellStart"/>
            <w:r>
              <w:t>GenE</w:t>
            </w:r>
            <w:proofErr w:type="spellEnd"/>
            <w:r>
              <w:t>’</w:t>
            </w:r>
          </w:p>
        </w:tc>
        <w:tc>
          <w:tcPr>
            <w:tcW w:w="6840" w:type="dxa"/>
          </w:tcPr>
          <w:p w:rsidR="00D95C4D" w:rsidRDefault="00D95C4D" w:rsidP="00852E18">
            <w:r>
              <w:t>Here the apostrophe indicates that the protein is missing the C-terminus (end)</w:t>
            </w:r>
          </w:p>
        </w:tc>
      </w:tr>
      <w:tr w:rsidR="00D95C4D" w:rsidTr="00D95C4D">
        <w:tc>
          <w:tcPr>
            <w:tcW w:w="2988" w:type="dxa"/>
          </w:tcPr>
          <w:p w:rsidR="00D95C4D" w:rsidRDefault="00D95C4D" w:rsidP="00852E18">
            <w:r>
              <w:rPr>
                <w:rFonts w:ascii="Calibri" w:hAnsi="Calibri"/>
              </w:rPr>
              <w:t>Δ</w:t>
            </w:r>
            <w:r>
              <w:rPr>
                <w:rFonts w:ascii="Calibri" w:hAnsi="Calibri"/>
              </w:rPr>
              <w:t xml:space="preserve">CT or </w:t>
            </w:r>
            <w:r>
              <w:rPr>
                <w:rFonts w:ascii="Calibri" w:hAnsi="Calibri"/>
              </w:rPr>
              <w:t>Δ</w:t>
            </w:r>
            <w:r>
              <w:rPr>
                <w:rFonts w:ascii="Calibri" w:hAnsi="Calibri"/>
              </w:rPr>
              <w:t>NT</w:t>
            </w:r>
          </w:p>
        </w:tc>
        <w:tc>
          <w:tcPr>
            <w:tcW w:w="6840" w:type="dxa"/>
          </w:tcPr>
          <w:p w:rsidR="00D95C4D" w:rsidRDefault="00D95C4D" w:rsidP="00852E18">
            <w:r>
              <w:t>This is very short notation that is sometimes used to indicate that the DNA encoding  C-terminus or N-terminus of a protein are deleted</w:t>
            </w:r>
          </w:p>
        </w:tc>
      </w:tr>
      <w:tr w:rsidR="00D95C4D" w:rsidTr="00D95C4D">
        <w:tc>
          <w:tcPr>
            <w:tcW w:w="2988" w:type="dxa"/>
          </w:tcPr>
          <w:p w:rsidR="00D95C4D" w:rsidRDefault="00D95C4D" w:rsidP="00852E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D572E</w:t>
            </w:r>
          </w:p>
        </w:tc>
        <w:tc>
          <w:tcPr>
            <w:tcW w:w="6840" w:type="dxa"/>
          </w:tcPr>
          <w:p w:rsidR="00D95C4D" w:rsidRDefault="00D95C4D" w:rsidP="00D95C4D">
            <w:r>
              <w:t xml:space="preserve">This indicates a missense mutation where the DNA that originally encodes a D (aspartate)* at position 572 now encodes an E (glutamate)*.   This could be in the context of natural variation of alleles or </w:t>
            </w:r>
            <w:proofErr w:type="gramStart"/>
            <w:r>
              <w:t>a direct mutants</w:t>
            </w:r>
            <w:proofErr w:type="gramEnd"/>
            <w:r>
              <w:t xml:space="preserve"> the authors create to test a hypothesis. </w:t>
            </w:r>
          </w:p>
          <w:p w:rsidR="00D95C4D" w:rsidRDefault="00D95C4D" w:rsidP="00D95C4D">
            <w:r>
              <w:t xml:space="preserve">*Learn your 1 letter amino acid codes!  They’re used a lot in molecular biology papers. </w:t>
            </w:r>
            <w:r>
              <w:sym w:font="Wingdings" w:char="F04A"/>
            </w:r>
          </w:p>
        </w:tc>
      </w:tr>
    </w:tbl>
    <w:p w:rsidR="00762BF8" w:rsidRDefault="00762BF8" w:rsidP="00762BF8">
      <w:pPr>
        <w:tabs>
          <w:tab w:val="clear" w:pos="360"/>
        </w:tabs>
        <w:spacing w:after="0" w:line="276" w:lineRule="auto"/>
      </w:pPr>
      <w:r>
        <w:t>More examples on Wikipedia!</w:t>
      </w:r>
    </w:p>
    <w:p w:rsidR="00762BF8" w:rsidRDefault="00762BF8" w:rsidP="00762BF8">
      <w:pPr>
        <w:spacing w:after="0"/>
      </w:pPr>
      <w:hyperlink r:id="rId8" w:history="1">
        <w:r w:rsidRPr="00C002D0">
          <w:rPr>
            <w:rStyle w:val="Hyperlink"/>
          </w:rPr>
          <w:t>http://en.wikipedia.org/wiki/Gene_nomenclature#Bacterial_genetic_nomenclature</w:t>
        </w:r>
      </w:hyperlink>
    </w:p>
    <w:p w:rsidR="00762BF8" w:rsidRDefault="00762BF8" w:rsidP="00762BF8">
      <w:pPr>
        <w:pStyle w:val="Heading3"/>
        <w:shd w:val="clear" w:color="auto" w:fill="FFFFFF"/>
        <w:spacing w:before="72" w:after="0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 xml:space="preserve">Mutant </w:t>
      </w:r>
      <w:proofErr w:type="gramStart"/>
      <w:r>
        <w:rPr>
          <w:rStyle w:val="mw-headline"/>
          <w:rFonts w:ascii="Arial" w:hAnsi="Arial" w:cs="Arial"/>
          <w:color w:val="000000"/>
          <w:sz w:val="28"/>
          <w:szCs w:val="28"/>
        </w:rPr>
        <w:t>nomenclature</w:t>
      </w:r>
      <w:r>
        <w:rPr>
          <w:rStyle w:val="mw-editsection-bracket"/>
          <w:rFonts w:ascii="Arial" w:hAnsi="Arial" w:cs="Arial"/>
          <w:b w:val="0"/>
          <w:bCs/>
          <w:color w:val="555555"/>
        </w:rPr>
        <w:t>[</w:t>
      </w:r>
      <w:proofErr w:type="gramEnd"/>
      <w:hyperlink r:id="rId9" w:tooltip="Edit section: Mutant nomenclature" w:history="1">
        <w:r>
          <w:rPr>
            <w:rStyle w:val="Hyperlink"/>
            <w:rFonts w:ascii="Arial" w:hAnsi="Arial" w:cs="Arial"/>
            <w:b w:val="0"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 w:val="0"/>
          <w:bCs/>
          <w:color w:val="555555"/>
        </w:rPr>
        <w:t>]</w:t>
      </w:r>
    </w:p>
    <w:p w:rsidR="00762BF8" w:rsidRDefault="00762BF8" w:rsidP="00762BF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If the gene in question is the wildtype a superscript '+' sign is used:</w:t>
      </w:r>
    </w:p>
    <w:p w:rsidR="00762BF8" w:rsidRDefault="00762BF8" w:rsidP="00762BF8">
      <w:pPr>
        <w:numPr>
          <w:ilvl w:val="0"/>
          <w:numId w:val="1"/>
        </w:numPr>
        <w:shd w:val="clear" w:color="auto" w:fill="FFFFFF"/>
        <w:tabs>
          <w:tab w:val="clear" w:pos="360"/>
        </w:tabs>
        <w:spacing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proofErr w:type="spellEnd"/>
      <w:r>
        <w:rPr>
          <w:rFonts w:ascii="Arial" w:hAnsi="Arial" w:cs="Arial"/>
          <w:i/>
          <w:iCs/>
          <w:color w:val="252525"/>
          <w:sz w:val="17"/>
          <w:szCs w:val="17"/>
          <w:vertAlign w:val="superscript"/>
        </w:rPr>
        <w:t>+</w:t>
      </w:r>
    </w:p>
    <w:p w:rsidR="00762BF8" w:rsidRDefault="00762BF8" w:rsidP="00762BF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If a gene is mutant, it is signified by a superscript '-':</w:t>
      </w:r>
    </w:p>
    <w:p w:rsidR="00762BF8" w:rsidRDefault="00762BF8" w:rsidP="00762BF8">
      <w:pPr>
        <w:numPr>
          <w:ilvl w:val="0"/>
          <w:numId w:val="2"/>
        </w:numPr>
        <w:shd w:val="clear" w:color="auto" w:fill="FFFFFF"/>
        <w:tabs>
          <w:tab w:val="clear" w:pos="360"/>
        </w:tabs>
        <w:spacing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proofErr w:type="spellEnd"/>
      <w:r>
        <w:rPr>
          <w:rFonts w:ascii="Arial" w:hAnsi="Arial" w:cs="Arial"/>
          <w:i/>
          <w:iCs/>
          <w:color w:val="252525"/>
          <w:sz w:val="17"/>
          <w:szCs w:val="17"/>
          <w:vertAlign w:val="superscript"/>
        </w:rPr>
        <w:t>-</w:t>
      </w:r>
    </w:p>
    <w:p w:rsidR="00762BF8" w:rsidRDefault="00762BF8" w:rsidP="00762BF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By convention, if neither is used, it is considered to be mutant.</w:t>
      </w:r>
    </w:p>
    <w:p w:rsidR="00762BF8" w:rsidRDefault="00762BF8" w:rsidP="00762BF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There are additional superscripts and subscripts which provide more information about the mutation:</w:t>
      </w:r>
    </w:p>
    <w:p w:rsidR="00762BF8" w:rsidRDefault="00762BF8" w:rsidP="00762BF8">
      <w:pPr>
        <w:numPr>
          <w:ilvl w:val="0"/>
          <w:numId w:val="3"/>
        </w:numPr>
        <w:shd w:val="clear" w:color="auto" w:fill="FFFFFF"/>
        <w:tabs>
          <w:tab w:val="clear" w:pos="360"/>
        </w:tabs>
        <w:spacing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17"/>
          <w:szCs w:val="17"/>
          <w:vertAlign w:val="superscript"/>
        </w:rPr>
        <w:t>ts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= temperature sensitive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r>
        <w:rPr>
          <w:rFonts w:ascii="Arial" w:hAnsi="Arial" w:cs="Arial"/>
          <w:i/>
          <w:iCs/>
          <w:color w:val="252525"/>
          <w:sz w:val="17"/>
          <w:szCs w:val="17"/>
          <w:vertAlign w:val="superscript"/>
        </w:rPr>
        <w:t>ts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17"/>
          <w:szCs w:val="17"/>
          <w:vertAlign w:val="superscript"/>
        </w:rPr>
        <w:t>cs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= cold sensitive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r>
        <w:rPr>
          <w:rFonts w:ascii="Arial" w:hAnsi="Arial" w:cs="Arial"/>
          <w:i/>
          <w:iCs/>
          <w:color w:val="252525"/>
          <w:sz w:val="17"/>
          <w:szCs w:val="17"/>
          <w:vertAlign w:val="superscript"/>
        </w:rPr>
        <w:t>cs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17"/>
          <w:szCs w:val="17"/>
          <w:vertAlign w:val="subscript"/>
        </w:rPr>
        <w:t>am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= amber mutation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17"/>
          <w:szCs w:val="17"/>
          <w:vertAlign w:val="subscript"/>
        </w:rPr>
        <w:t>um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= umber (opal) mutation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um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17"/>
          <w:szCs w:val="17"/>
          <w:vertAlign w:val="subscript"/>
        </w:rPr>
        <w:t>oc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= ochre mutation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r>
        <w:rPr>
          <w:rFonts w:ascii="Arial" w:hAnsi="Arial" w:cs="Arial"/>
          <w:i/>
          <w:iCs/>
          <w:color w:val="252525"/>
          <w:sz w:val="17"/>
          <w:szCs w:val="17"/>
          <w:vertAlign w:val="subscript"/>
        </w:rPr>
        <w:t>oc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17"/>
          <w:szCs w:val="17"/>
          <w:vertAlign w:val="superscript"/>
        </w:rPr>
        <w:t>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= resistant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rif</w:t>
      </w:r>
      <w:r>
        <w:rPr>
          <w:rFonts w:ascii="Arial" w:hAnsi="Arial" w:cs="Arial"/>
          <w:i/>
          <w:iCs/>
          <w:color w:val="252525"/>
          <w:sz w:val="17"/>
          <w:szCs w:val="17"/>
          <w:vertAlign w:val="superscript"/>
        </w:rPr>
        <w:t>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Other modifiers:</w:t>
      </w:r>
    </w:p>
    <w:p w:rsidR="00762BF8" w:rsidRDefault="00762BF8" w:rsidP="00762BF8">
      <w:pPr>
        <w:numPr>
          <w:ilvl w:val="0"/>
          <w:numId w:val="4"/>
        </w:numPr>
        <w:shd w:val="clear" w:color="auto" w:fill="FFFFFF"/>
        <w:tabs>
          <w:tab w:val="clear" w:pos="360"/>
        </w:tabs>
        <w:spacing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Δ = deletion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Δ</w:t>
      </w:r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4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= fusion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r>
        <w:rPr>
          <w:rFonts w:ascii="Arial" w:hAnsi="Arial" w:cs="Arial"/>
          <w:color w:val="252525"/>
          <w:sz w:val="21"/>
          <w:szCs w:val="21"/>
        </w:rPr>
        <w:t>-</w:t>
      </w:r>
      <w:r>
        <w:rPr>
          <w:rFonts w:ascii="Arial" w:hAnsi="Arial" w:cs="Arial"/>
          <w:i/>
          <w:iCs/>
          <w:color w:val="252525"/>
          <w:sz w:val="21"/>
          <w:szCs w:val="21"/>
        </w:rPr>
        <w:t>lacZ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4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: = fusion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Fonts w:ascii="Arial" w:hAnsi="Arial" w:cs="Arial"/>
          <w:i/>
          <w:iCs/>
          <w:color w:val="252525"/>
          <w:sz w:val="21"/>
          <w:szCs w:val="21"/>
        </w:rPr>
        <w:t>lacZ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4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:: = insertion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::Tn</w:t>
      </w:r>
      <w:r>
        <w:rPr>
          <w:rFonts w:ascii="Arial" w:hAnsi="Arial" w:cs="Arial"/>
          <w:i/>
          <w:iCs/>
          <w:color w:val="252525"/>
          <w:sz w:val="21"/>
          <w:szCs w:val="21"/>
        </w:rPr>
        <w:t>10</w:t>
      </w:r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Default="00762BF8" w:rsidP="00762BF8">
      <w:pPr>
        <w:numPr>
          <w:ilvl w:val="0"/>
          <w:numId w:val="4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Ω = a genetic construct introduced by a two-point crossover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Ω</w:t>
      </w:r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762BF8" w:rsidRPr="00762BF8" w:rsidRDefault="00762BF8" w:rsidP="00762BF8">
      <w:pPr>
        <w:numPr>
          <w:ilvl w:val="0"/>
          <w:numId w:val="4"/>
        </w:numPr>
        <w:shd w:val="clear" w:color="auto" w:fill="FFFFFF"/>
        <w:tabs>
          <w:tab w:val="clear" w:pos="360"/>
        </w:tabs>
        <w:spacing w:before="100" w:beforeAutospacing="1" w:after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Δ</w:t>
      </w:r>
      <w:r>
        <w:rPr>
          <w:rFonts w:ascii="Arial" w:hAnsi="Arial" w:cs="Arial"/>
          <w:i/>
          <w:iCs/>
          <w:color w:val="252525"/>
          <w:sz w:val="21"/>
          <w:szCs w:val="21"/>
        </w:rPr>
        <w:t>gene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name</w:t>
      </w:r>
      <w:r>
        <w:rPr>
          <w:rFonts w:ascii="Arial" w:hAnsi="Arial" w:cs="Arial"/>
          <w:color w:val="252525"/>
          <w:sz w:val="21"/>
          <w:szCs w:val="21"/>
        </w:rPr>
        <w:t>::</w:t>
      </w:r>
      <w:r>
        <w:rPr>
          <w:rFonts w:ascii="Arial" w:hAnsi="Arial" w:cs="Arial"/>
          <w:i/>
          <w:iCs/>
          <w:color w:val="252525"/>
          <w:sz w:val="21"/>
          <w:szCs w:val="21"/>
        </w:rPr>
        <w:t>drug resistance marker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= deletion/replacement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Δ</w:t>
      </w:r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::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npt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indicates that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leuA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gene has been deleted and replaced with the gene for neomycin phosphotransferase, which con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>fers resistance to kanamycin)</w:t>
      </w:r>
    </w:p>
    <w:sectPr w:rsidR="00762BF8" w:rsidRPr="00762BF8" w:rsidSect="00762BF8">
      <w:headerReference w:type="default" r:id="rId10"/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02" w:rsidRDefault="00AD1302" w:rsidP="00762BF8">
      <w:pPr>
        <w:spacing w:after="0"/>
      </w:pPr>
      <w:r>
        <w:separator/>
      </w:r>
    </w:p>
  </w:endnote>
  <w:endnote w:type="continuationSeparator" w:id="0">
    <w:p w:rsidR="00AD1302" w:rsidRDefault="00AD1302" w:rsidP="00762B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02" w:rsidRDefault="00AD1302" w:rsidP="00762BF8">
      <w:pPr>
        <w:spacing w:after="0"/>
      </w:pPr>
      <w:r>
        <w:separator/>
      </w:r>
    </w:p>
  </w:footnote>
  <w:footnote w:type="continuationSeparator" w:id="0">
    <w:p w:rsidR="00AD1302" w:rsidRDefault="00AD1302" w:rsidP="00762B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F8" w:rsidRDefault="00762BF8">
    <w:pPr>
      <w:pStyle w:val="Header"/>
    </w:pPr>
    <w:r>
      <w:t>Common notations in bacterial genetics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B2938"/>
    <w:multiLevelType w:val="multilevel"/>
    <w:tmpl w:val="043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113D91"/>
    <w:multiLevelType w:val="multilevel"/>
    <w:tmpl w:val="574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747996"/>
    <w:multiLevelType w:val="multilevel"/>
    <w:tmpl w:val="A36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FE1E41"/>
    <w:multiLevelType w:val="multilevel"/>
    <w:tmpl w:val="9CE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F6"/>
    <w:rsid w:val="000A0A0C"/>
    <w:rsid w:val="00125C99"/>
    <w:rsid w:val="0032136C"/>
    <w:rsid w:val="0032207D"/>
    <w:rsid w:val="00762BF8"/>
    <w:rsid w:val="0088189D"/>
    <w:rsid w:val="00881B3A"/>
    <w:rsid w:val="00917C71"/>
    <w:rsid w:val="00AD1302"/>
    <w:rsid w:val="00C25D52"/>
    <w:rsid w:val="00D770D6"/>
    <w:rsid w:val="00D83BA4"/>
    <w:rsid w:val="00D95C4D"/>
    <w:rsid w:val="00E50717"/>
    <w:rsid w:val="00E60B50"/>
    <w:rsid w:val="00F2156B"/>
    <w:rsid w:val="00F365F9"/>
    <w:rsid w:val="00F4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71"/>
    <w:pPr>
      <w:tabs>
        <w:tab w:val="left" w:pos="360"/>
      </w:tabs>
      <w:spacing w:after="80" w:line="240" w:lineRule="auto"/>
    </w:pPr>
    <w:rPr>
      <w:rFonts w:ascii="Cambria" w:hAnsi="Cambria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C71"/>
    <w:pPr>
      <w:spacing w:before="120" w:after="0"/>
      <w:ind w:left="-187"/>
      <w:outlineLvl w:val="0"/>
    </w:pPr>
    <w:rPr>
      <w:rFonts w:ascii="Century Gothic" w:hAnsi="Century Gothic"/>
      <w:b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C71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C71"/>
    <w:pPr>
      <w:outlineLvl w:val="2"/>
    </w:pPr>
    <w:rPr>
      <w:b/>
    </w:rPr>
  </w:style>
  <w:style w:type="paragraph" w:styleId="Heading4">
    <w:name w:val="heading 4"/>
    <w:aliases w:val="Figure Caption"/>
    <w:basedOn w:val="Normal"/>
    <w:next w:val="Normal"/>
    <w:link w:val="Heading4Char"/>
    <w:uiPriority w:val="9"/>
    <w:unhideWhenUsed/>
    <w:qFormat/>
    <w:rsid w:val="00917C71"/>
    <w:pPr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7C71"/>
    <w:pPr>
      <w:spacing w:before="120"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cience Table"/>
    <w:basedOn w:val="TableNormal"/>
    <w:uiPriority w:val="59"/>
    <w:rsid w:val="00881B3A"/>
    <w:pPr>
      <w:spacing w:after="0" w:line="240" w:lineRule="auto"/>
    </w:pPr>
    <w:tblPr/>
    <w:tblStylePr w:type="firstRow">
      <w:tblPr/>
      <w:tcPr>
        <w:tcBorders>
          <w:top w:val="single" w:sz="12" w:space="0" w:color="auto"/>
          <w:bottom w:val="single" w:sz="12" w:space="0" w:color="auto"/>
          <w:insideH w:val="nil"/>
        </w:tcBorders>
      </w:tcPr>
    </w:tblStylePr>
  </w:style>
  <w:style w:type="table" w:customStyle="1" w:styleId="Science2">
    <w:name w:val="Science 2"/>
    <w:basedOn w:val="TableNormal"/>
    <w:uiPriority w:val="99"/>
    <w:rsid w:val="0032136C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12" w:space="0" w:color="auto"/>
          <w:insideH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C71"/>
    <w:rPr>
      <w:rFonts w:ascii="Century Gothic" w:hAnsi="Century Gothic"/>
      <w:b/>
      <w:noProof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7C71"/>
    <w:rPr>
      <w:rFonts w:ascii="Cambria" w:hAnsi="Cambria"/>
      <w:color w:val="000000" w:themeColor="text1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7C71"/>
    <w:rPr>
      <w:rFonts w:ascii="Cambria" w:hAnsi="Cambria"/>
      <w:b/>
      <w:color w:val="000000" w:themeColor="text1"/>
      <w:sz w:val="24"/>
      <w:szCs w:val="24"/>
    </w:rPr>
  </w:style>
  <w:style w:type="character" w:customStyle="1" w:styleId="Heading4Char">
    <w:name w:val="Heading 4 Char"/>
    <w:aliases w:val="Figure Caption Char"/>
    <w:basedOn w:val="DefaultParagraphFont"/>
    <w:link w:val="Heading4"/>
    <w:uiPriority w:val="9"/>
    <w:rsid w:val="00917C71"/>
    <w:rPr>
      <w:rFonts w:ascii="Cambria" w:hAnsi="Cambria"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17C71"/>
    <w:rPr>
      <w:rFonts w:ascii="Cambria" w:hAnsi="Cambria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C7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7C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B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A4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BF8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762BF8"/>
  </w:style>
  <w:style w:type="character" w:customStyle="1" w:styleId="mw-editsection">
    <w:name w:val="mw-editsection"/>
    <w:basedOn w:val="DefaultParagraphFont"/>
    <w:rsid w:val="00762BF8"/>
  </w:style>
  <w:style w:type="character" w:customStyle="1" w:styleId="mw-editsection-bracket">
    <w:name w:val="mw-editsection-bracket"/>
    <w:basedOn w:val="DefaultParagraphFont"/>
    <w:rsid w:val="00762BF8"/>
  </w:style>
  <w:style w:type="paragraph" w:styleId="NormalWeb">
    <w:name w:val="Normal (Web)"/>
    <w:basedOn w:val="Normal"/>
    <w:uiPriority w:val="99"/>
    <w:semiHidden/>
    <w:unhideWhenUsed/>
    <w:rsid w:val="00762BF8"/>
    <w:pPr>
      <w:tabs>
        <w:tab w:val="clear" w:pos="36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pple-converted-space">
    <w:name w:val="apple-converted-space"/>
    <w:basedOn w:val="DefaultParagraphFont"/>
    <w:rsid w:val="00762BF8"/>
  </w:style>
  <w:style w:type="paragraph" w:styleId="Header">
    <w:name w:val="header"/>
    <w:basedOn w:val="Normal"/>
    <w:link w:val="HeaderChar"/>
    <w:uiPriority w:val="99"/>
    <w:unhideWhenUsed/>
    <w:rsid w:val="00762BF8"/>
    <w:pPr>
      <w:tabs>
        <w:tab w:val="clear" w:pos="360"/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2BF8"/>
    <w:rPr>
      <w:rFonts w:ascii="Cambria" w:hAnsi="Cambria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2BF8"/>
    <w:pPr>
      <w:tabs>
        <w:tab w:val="clear" w:pos="360"/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2BF8"/>
    <w:rPr>
      <w:rFonts w:ascii="Cambria" w:hAnsi="Cambria"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71"/>
    <w:pPr>
      <w:tabs>
        <w:tab w:val="left" w:pos="360"/>
      </w:tabs>
      <w:spacing w:after="80" w:line="240" w:lineRule="auto"/>
    </w:pPr>
    <w:rPr>
      <w:rFonts w:ascii="Cambria" w:hAnsi="Cambria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C71"/>
    <w:pPr>
      <w:spacing w:before="120" w:after="0"/>
      <w:ind w:left="-187"/>
      <w:outlineLvl w:val="0"/>
    </w:pPr>
    <w:rPr>
      <w:rFonts w:ascii="Century Gothic" w:hAnsi="Century Gothic"/>
      <w:b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C71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C71"/>
    <w:pPr>
      <w:outlineLvl w:val="2"/>
    </w:pPr>
    <w:rPr>
      <w:b/>
    </w:rPr>
  </w:style>
  <w:style w:type="paragraph" w:styleId="Heading4">
    <w:name w:val="heading 4"/>
    <w:aliases w:val="Figure Caption"/>
    <w:basedOn w:val="Normal"/>
    <w:next w:val="Normal"/>
    <w:link w:val="Heading4Char"/>
    <w:uiPriority w:val="9"/>
    <w:unhideWhenUsed/>
    <w:qFormat/>
    <w:rsid w:val="00917C71"/>
    <w:pPr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7C71"/>
    <w:pPr>
      <w:spacing w:before="120"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cience Table"/>
    <w:basedOn w:val="TableNormal"/>
    <w:uiPriority w:val="59"/>
    <w:rsid w:val="00881B3A"/>
    <w:pPr>
      <w:spacing w:after="0" w:line="240" w:lineRule="auto"/>
    </w:pPr>
    <w:tblPr/>
    <w:tblStylePr w:type="firstRow">
      <w:tblPr/>
      <w:tcPr>
        <w:tcBorders>
          <w:top w:val="single" w:sz="12" w:space="0" w:color="auto"/>
          <w:bottom w:val="single" w:sz="12" w:space="0" w:color="auto"/>
          <w:insideH w:val="nil"/>
        </w:tcBorders>
      </w:tcPr>
    </w:tblStylePr>
  </w:style>
  <w:style w:type="table" w:customStyle="1" w:styleId="Science2">
    <w:name w:val="Science 2"/>
    <w:basedOn w:val="TableNormal"/>
    <w:uiPriority w:val="99"/>
    <w:rsid w:val="0032136C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12" w:space="0" w:color="auto"/>
          <w:insideH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C71"/>
    <w:rPr>
      <w:rFonts w:ascii="Century Gothic" w:hAnsi="Century Gothic"/>
      <w:b/>
      <w:noProof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7C71"/>
    <w:rPr>
      <w:rFonts w:ascii="Cambria" w:hAnsi="Cambria"/>
      <w:color w:val="000000" w:themeColor="text1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7C71"/>
    <w:rPr>
      <w:rFonts w:ascii="Cambria" w:hAnsi="Cambria"/>
      <w:b/>
      <w:color w:val="000000" w:themeColor="text1"/>
      <w:sz w:val="24"/>
      <w:szCs w:val="24"/>
    </w:rPr>
  </w:style>
  <w:style w:type="character" w:customStyle="1" w:styleId="Heading4Char">
    <w:name w:val="Heading 4 Char"/>
    <w:aliases w:val="Figure Caption Char"/>
    <w:basedOn w:val="DefaultParagraphFont"/>
    <w:link w:val="Heading4"/>
    <w:uiPriority w:val="9"/>
    <w:rsid w:val="00917C71"/>
    <w:rPr>
      <w:rFonts w:ascii="Cambria" w:hAnsi="Cambria"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17C71"/>
    <w:rPr>
      <w:rFonts w:ascii="Cambria" w:hAnsi="Cambria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17C7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7C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B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A4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BF8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762BF8"/>
  </w:style>
  <w:style w:type="character" w:customStyle="1" w:styleId="mw-editsection">
    <w:name w:val="mw-editsection"/>
    <w:basedOn w:val="DefaultParagraphFont"/>
    <w:rsid w:val="00762BF8"/>
  </w:style>
  <w:style w:type="character" w:customStyle="1" w:styleId="mw-editsection-bracket">
    <w:name w:val="mw-editsection-bracket"/>
    <w:basedOn w:val="DefaultParagraphFont"/>
    <w:rsid w:val="00762BF8"/>
  </w:style>
  <w:style w:type="paragraph" w:styleId="NormalWeb">
    <w:name w:val="Normal (Web)"/>
    <w:basedOn w:val="Normal"/>
    <w:uiPriority w:val="99"/>
    <w:semiHidden/>
    <w:unhideWhenUsed/>
    <w:rsid w:val="00762BF8"/>
    <w:pPr>
      <w:tabs>
        <w:tab w:val="clear" w:pos="36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pple-converted-space">
    <w:name w:val="apple-converted-space"/>
    <w:basedOn w:val="DefaultParagraphFont"/>
    <w:rsid w:val="00762BF8"/>
  </w:style>
  <w:style w:type="paragraph" w:styleId="Header">
    <w:name w:val="header"/>
    <w:basedOn w:val="Normal"/>
    <w:link w:val="HeaderChar"/>
    <w:uiPriority w:val="99"/>
    <w:unhideWhenUsed/>
    <w:rsid w:val="00762BF8"/>
    <w:pPr>
      <w:tabs>
        <w:tab w:val="clear" w:pos="360"/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2BF8"/>
    <w:rPr>
      <w:rFonts w:ascii="Cambria" w:hAnsi="Cambria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2BF8"/>
    <w:pPr>
      <w:tabs>
        <w:tab w:val="clear" w:pos="360"/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2BF8"/>
    <w:rPr>
      <w:rFonts w:ascii="Cambria" w:hAnsi="Cambria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ene_nomenclature#Bacterial_genetic_nomenclatu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/index.php?title=Gene_nomenclature&amp;action=edit&amp;section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chemeClr val="bg1"/>
          </a:solidFill>
          <a:miter lim="800000"/>
          <a:headEnd/>
          <a:tailEnd/>
        </a:ln>
      </a:spPr>
      <a:bodyPr rot="0" vert="horz" wrap="square" lIns="18288" tIns="0" rIns="18288" bIns="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Lowe</dc:creator>
  <cp:lastModifiedBy>Tiffany Lowe</cp:lastModifiedBy>
  <cp:revision>1</cp:revision>
  <dcterms:created xsi:type="dcterms:W3CDTF">2014-09-09T21:47:00Z</dcterms:created>
  <dcterms:modified xsi:type="dcterms:W3CDTF">2014-09-09T22:27:00Z</dcterms:modified>
</cp:coreProperties>
</file>