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B79B7" w14:textId="77777777" w:rsidR="00BA45C8" w:rsidRDefault="00BA45C8" w:rsidP="00BA45C8">
      <w:p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Instructions: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A1921B2" w14:textId="77777777" w:rsidR="00BA45C8" w:rsidRDefault="00BA45C8" w:rsidP="00BA45C8">
      <w:p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Match each description to its plan by writing the description's number in the appropriate blank. Some descriptions may apply to two or more plans.</w:t>
      </w:r>
    </w:p>
    <w:p w14:paraId="212E76B1" w14:textId="77777777" w:rsidR="00BA45C8" w:rsidRDefault="00BA45C8" w:rsidP="00BA45C8">
      <w:pPr>
        <w:spacing w:after="0" w:line="36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0E8C33A7" w14:textId="77777777" w:rsidR="00BA45C8" w:rsidRDefault="00BA45C8" w:rsidP="00BA45C8">
      <w:pPr>
        <w:spacing w:after="0" w:line="360" w:lineRule="auto"/>
        <w:outlineLvl w:val="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Plans: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2250"/>
      </w:tblGrid>
      <w:tr w:rsidR="008B0CB5" w14:paraId="4966B5EA" w14:textId="77777777" w:rsidTr="008B0CB5">
        <w:tc>
          <w:tcPr>
            <w:tcW w:w="3420" w:type="dxa"/>
            <w:vAlign w:val="center"/>
          </w:tcPr>
          <w:p w14:paraId="33A64EDB" w14:textId="77777777" w:rsidR="008B0CB5" w:rsidRDefault="008B0CB5" w:rsidP="00BA45C8">
            <w:pPr>
              <w:spacing w:after="0" w:line="360" w:lineRule="auto"/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Business continuity plan (BCP)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0E2C0273" w14:textId="5D4560FC" w:rsidR="008B0CB5" w:rsidRDefault="00F962B6" w:rsidP="00BA45C8">
            <w:pPr>
              <w:spacing w:after="0" w:line="360" w:lineRule="auto"/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 7 and 9</w:t>
            </w:r>
          </w:p>
        </w:tc>
      </w:tr>
      <w:tr w:rsidR="008B0CB5" w14:paraId="335D4423" w14:textId="77777777" w:rsidTr="008B0CB5">
        <w:tc>
          <w:tcPr>
            <w:tcW w:w="3420" w:type="dxa"/>
            <w:vAlign w:val="center"/>
          </w:tcPr>
          <w:p w14:paraId="045DBE6F" w14:textId="77777777" w:rsidR="008B0CB5" w:rsidRDefault="008B0CB5" w:rsidP="00BA45C8">
            <w:pPr>
              <w:spacing w:after="0" w:line="360" w:lineRule="auto"/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Disaster recovery plan (DRP)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5F556F" w14:textId="43BBE52B" w:rsidR="008B0CB5" w:rsidRDefault="00F962B6" w:rsidP="00BA45C8">
            <w:pPr>
              <w:spacing w:after="0" w:line="360" w:lineRule="auto"/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 and 10</w:t>
            </w:r>
          </w:p>
        </w:tc>
      </w:tr>
      <w:tr w:rsidR="008B0CB5" w14:paraId="3BD639B2" w14:textId="77777777" w:rsidTr="008B0CB5">
        <w:tc>
          <w:tcPr>
            <w:tcW w:w="3420" w:type="dxa"/>
            <w:vAlign w:val="center"/>
          </w:tcPr>
          <w:p w14:paraId="1C0BD121" w14:textId="77777777" w:rsidR="008B0CB5" w:rsidRDefault="008B0CB5" w:rsidP="00BA45C8">
            <w:pPr>
              <w:spacing w:after="0" w:line="360" w:lineRule="auto"/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Business impact analysis (BIA)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628D5F" w14:textId="6F52922A" w:rsidR="008B0CB5" w:rsidRDefault="00F962B6" w:rsidP="00BA45C8">
            <w:pPr>
              <w:spacing w:after="0" w:line="360" w:lineRule="auto"/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 and 5</w:t>
            </w:r>
          </w:p>
        </w:tc>
      </w:tr>
      <w:tr w:rsidR="008B0CB5" w14:paraId="55628DC2" w14:textId="77777777" w:rsidTr="008B0CB5">
        <w:tc>
          <w:tcPr>
            <w:tcW w:w="3420" w:type="dxa"/>
            <w:vAlign w:val="center"/>
          </w:tcPr>
          <w:p w14:paraId="247046BF" w14:textId="77777777" w:rsidR="008B0CB5" w:rsidRDefault="008B0CB5" w:rsidP="00BA45C8">
            <w:pPr>
              <w:spacing w:after="0" w:line="360" w:lineRule="auto"/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Incident response plan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56C224" w14:textId="1AB6180C" w:rsidR="008B0CB5" w:rsidRDefault="00F962B6" w:rsidP="00BA45C8">
            <w:pPr>
              <w:spacing w:after="0" w:line="360" w:lineRule="auto"/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 4 and 6</w:t>
            </w:r>
          </w:p>
        </w:tc>
      </w:tr>
    </w:tbl>
    <w:p w14:paraId="40E52B8A" w14:textId="77777777" w:rsidR="008B0CB5" w:rsidRDefault="008B0CB5" w:rsidP="00BA45C8">
      <w:pPr>
        <w:spacing w:after="0" w:line="360" w:lineRule="auto"/>
        <w:outlineLvl w:val="0"/>
        <w:rPr>
          <w:rFonts w:ascii="Arial" w:hAnsi="Arial" w:cs="Arial"/>
          <w:color w:val="000000"/>
          <w:sz w:val="20"/>
          <w:szCs w:val="20"/>
        </w:rPr>
      </w:pPr>
    </w:p>
    <w:p w14:paraId="32C4125E" w14:textId="77777777" w:rsidR="00BA45C8" w:rsidRDefault="00BA45C8" w:rsidP="00BA45C8">
      <w:pPr>
        <w:spacing w:after="0" w:line="360" w:lineRule="auto"/>
        <w:outlineLvl w:val="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Descriptions:</w:t>
      </w:r>
    </w:p>
    <w:p w14:paraId="270173B2" w14:textId="77777777" w:rsidR="00BA45C8" w:rsidRDefault="00BA45C8" w:rsidP="00BA45C8">
      <w:pPr>
        <w:numPr>
          <w:ilvl w:val="0"/>
          <w:numId w:val="19"/>
        </w:num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May be part of a BCP or referred to in a BCP</w:t>
      </w:r>
    </w:p>
    <w:p w14:paraId="7DC03B71" w14:textId="77777777" w:rsidR="00BA45C8" w:rsidRDefault="00BA45C8" w:rsidP="00BA45C8">
      <w:pPr>
        <w:numPr>
          <w:ilvl w:val="0"/>
          <w:numId w:val="19"/>
        </w:num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Covers all functions of a business, including IT systems, facilities, and personnel</w:t>
      </w:r>
    </w:p>
    <w:p w14:paraId="52B55EB4" w14:textId="77777777" w:rsidR="00BA45C8" w:rsidRDefault="00BA45C8" w:rsidP="00BA45C8">
      <w:pPr>
        <w:numPr>
          <w:ilvl w:val="0"/>
          <w:numId w:val="19"/>
        </w:num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Includes critical business functions (CBFs)</w:t>
      </w:r>
    </w:p>
    <w:p w14:paraId="12FEF496" w14:textId="77777777" w:rsidR="00BA45C8" w:rsidRDefault="00BA45C8" w:rsidP="00BA45C8">
      <w:pPr>
        <w:numPr>
          <w:ilvl w:val="0"/>
          <w:numId w:val="19"/>
        </w:num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Details emergency response and activities</w:t>
      </w:r>
    </w:p>
    <w:p w14:paraId="59F9E61F" w14:textId="0E170E41" w:rsidR="00BA45C8" w:rsidRDefault="003551C3" w:rsidP="00BA45C8">
      <w:pPr>
        <w:numPr>
          <w:ilvl w:val="0"/>
          <w:numId w:val="19"/>
        </w:num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Generally,</w:t>
      </w:r>
      <w:r w:rsidR="00BA45C8">
        <w:rPr>
          <w:rFonts w:ascii="Arial" w:hAnsi="Arial" w:cs="Arial"/>
          <w:color w:val="000000"/>
          <w:sz w:val="20"/>
          <w:szCs w:val="20"/>
        </w:rPr>
        <w:t xml:space="preserve"> includes interviews, surveys, or meetings to assess </w:t>
      </w:r>
      <w:r>
        <w:rPr>
          <w:rFonts w:ascii="Arial" w:hAnsi="Arial" w:cs="Arial"/>
          <w:color w:val="000000"/>
          <w:sz w:val="20"/>
          <w:szCs w:val="20"/>
        </w:rPr>
        <w:t>the environment.</w:t>
      </w:r>
    </w:p>
    <w:p w14:paraId="62FE25FA" w14:textId="77777777" w:rsidR="000741ED" w:rsidRPr="0069797D" w:rsidRDefault="000741ED" w:rsidP="000741ED">
      <w:pPr>
        <w:numPr>
          <w:ilvl w:val="0"/>
          <w:numId w:val="19"/>
        </w:num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69797D">
        <w:rPr>
          <w:rFonts w:ascii="Arial" w:hAnsi="Arial" w:cs="Arial"/>
          <w:color w:val="000000"/>
          <w:sz w:val="20"/>
          <w:szCs w:val="20"/>
        </w:rPr>
        <w:t>Outlines steps to be taken to stop the spread of an incident</w:t>
      </w:r>
    </w:p>
    <w:p w14:paraId="4B03C52E" w14:textId="77777777" w:rsidR="00BA45C8" w:rsidRDefault="00BA45C8" w:rsidP="00BA45C8">
      <w:pPr>
        <w:numPr>
          <w:ilvl w:val="0"/>
          <w:numId w:val="19"/>
        </w:num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Includes maximum acceptable outages (MAOs)</w:t>
      </w:r>
    </w:p>
    <w:p w14:paraId="6AB05BFC" w14:textId="77777777" w:rsidR="00BA45C8" w:rsidRDefault="00BA45C8" w:rsidP="00BA45C8">
      <w:pPr>
        <w:numPr>
          <w:ilvl w:val="0"/>
          <w:numId w:val="19"/>
        </w:num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Often specifies hot, warm, cold</w:t>
      </w:r>
      <w:r w:rsidR="008B0CB5">
        <w:rPr>
          <w:rFonts w:ascii="Arial" w:hAnsi="Arial" w:cs="Arial"/>
          <w:color w:val="000000"/>
          <w:sz w:val="20"/>
          <w:szCs w:val="20"/>
        </w:rPr>
        <w:t>, and mobile</w:t>
      </w:r>
      <w:r>
        <w:rPr>
          <w:rFonts w:ascii="Arial" w:hAnsi="Arial" w:cs="Arial"/>
          <w:color w:val="000000"/>
          <w:sz w:val="20"/>
          <w:szCs w:val="20"/>
        </w:rPr>
        <w:t xml:space="preserve"> sites</w:t>
      </w:r>
    </w:p>
    <w:p w14:paraId="0AC5D06E" w14:textId="77777777" w:rsidR="00BA45C8" w:rsidRDefault="00BA45C8" w:rsidP="00BA45C8">
      <w:pPr>
        <w:numPr>
          <w:ilvl w:val="0"/>
          <w:numId w:val="19"/>
        </w:num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Helps an organization continue to operate during and after a disruption</w:t>
      </w:r>
    </w:p>
    <w:p w14:paraId="61D9C56E" w14:textId="08EEED98" w:rsidR="00BA45C8" w:rsidRDefault="003551C3" w:rsidP="00BA45C8">
      <w:pPr>
        <w:numPr>
          <w:ilvl w:val="0"/>
          <w:numId w:val="19"/>
        </w:numPr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Generally,</w:t>
      </w:r>
      <w:r w:rsidR="00BA45C8">
        <w:rPr>
          <w:rFonts w:ascii="Arial" w:hAnsi="Arial" w:cs="Arial"/>
          <w:color w:val="000000"/>
          <w:sz w:val="20"/>
          <w:szCs w:val="20"/>
        </w:rPr>
        <w:t xml:space="preserve"> includes only mission-critical </w:t>
      </w:r>
      <w:r>
        <w:rPr>
          <w:rFonts w:ascii="Arial" w:hAnsi="Arial" w:cs="Arial"/>
          <w:color w:val="000000"/>
          <w:sz w:val="20"/>
          <w:szCs w:val="20"/>
        </w:rPr>
        <w:t>systems.</w:t>
      </w:r>
      <w:r w:rsidR="00BA45C8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A77F303" w14:textId="77777777" w:rsidR="00BA45C8" w:rsidRDefault="00BA45C8" w:rsidP="00BA45C8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66B2A310" w14:textId="77777777" w:rsidR="009A1AA8" w:rsidRPr="00BA45C8" w:rsidRDefault="009A1AA8" w:rsidP="00BA45C8"/>
    <w:sectPr w:rsidR="009A1AA8" w:rsidRPr="00BA45C8" w:rsidSect="007B4405">
      <w:headerReference w:type="default" r:id="rId7"/>
      <w:footerReference w:type="default" r:id="rId8"/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AE8C6" w14:textId="77777777" w:rsidR="007B4405" w:rsidRDefault="007B4405" w:rsidP="002C4320">
      <w:pPr>
        <w:spacing w:after="0" w:line="240" w:lineRule="auto"/>
      </w:pPr>
      <w:r>
        <w:separator/>
      </w:r>
    </w:p>
  </w:endnote>
  <w:endnote w:type="continuationSeparator" w:id="0">
    <w:p w14:paraId="70A6688D" w14:textId="77777777" w:rsidR="007B4405" w:rsidRDefault="007B4405" w:rsidP="002C4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3B3DB" w14:textId="77777777" w:rsidR="00044605" w:rsidRPr="009F6E9C" w:rsidRDefault="00C96C89" w:rsidP="00162288">
    <w:pPr>
      <w:pBdr>
        <w:top w:val="single" w:sz="18" w:space="1" w:color="FFC000"/>
      </w:pBdr>
      <w:spacing w:after="0" w:line="240" w:lineRule="auto"/>
      <w:rPr>
        <w:rFonts w:ascii="Arial" w:hAnsi="Arial" w:cs="Arial"/>
        <w:color w:val="000000"/>
        <w:sz w:val="18"/>
        <w:szCs w:val="18"/>
      </w:rPr>
    </w:pPr>
    <w:r w:rsidRPr="009F6E9C">
      <w:rPr>
        <w:rFonts w:ascii="Arial" w:hAnsi="Arial" w:cs="Arial"/>
        <w:color w:val="000000"/>
        <w:sz w:val="18"/>
        <w:szCs w:val="18"/>
      </w:rPr>
      <w:t>© 201</w:t>
    </w:r>
    <w:r w:rsidR="00E64A18">
      <w:rPr>
        <w:rFonts w:ascii="Arial" w:hAnsi="Arial" w:cs="Arial"/>
        <w:color w:val="000000"/>
        <w:sz w:val="18"/>
        <w:szCs w:val="18"/>
      </w:rPr>
      <w:t>8</w:t>
    </w:r>
    <w:r w:rsidRPr="009F6E9C">
      <w:rPr>
        <w:rFonts w:ascii="Arial" w:hAnsi="Arial" w:cs="Arial"/>
        <w:color w:val="000000"/>
        <w:sz w:val="18"/>
        <w:szCs w:val="18"/>
      </w:rPr>
      <w:t xml:space="preserve"> by Jones &amp; Bartlett Learning, LLC, an Ascend Learning Company</w:t>
    </w:r>
    <w:r w:rsidR="00162288" w:rsidRPr="009F6E9C">
      <w:rPr>
        <w:rFonts w:ascii="Arial" w:hAnsi="Arial" w:cs="Arial"/>
        <w:color w:val="000000"/>
        <w:sz w:val="18"/>
        <w:szCs w:val="18"/>
      </w:rPr>
      <w:t>. All rights reserved.</w:t>
    </w:r>
  </w:p>
  <w:p w14:paraId="3BC7BBC4" w14:textId="77777777" w:rsidR="00162288" w:rsidRPr="00C60244" w:rsidRDefault="00162288" w:rsidP="00162288">
    <w:pPr>
      <w:pBdr>
        <w:top w:val="single" w:sz="18" w:space="1" w:color="FFC000"/>
      </w:pBdr>
      <w:tabs>
        <w:tab w:val="right" w:pos="9360"/>
      </w:tabs>
      <w:spacing w:after="0" w:line="240" w:lineRule="auto"/>
      <w:rPr>
        <w:rFonts w:ascii="Arial" w:hAnsi="Arial" w:cs="Arial"/>
        <w:color w:val="000000"/>
        <w:sz w:val="18"/>
        <w:szCs w:val="18"/>
      </w:rPr>
    </w:pPr>
    <w:r w:rsidRPr="00E60A2C">
      <w:rPr>
        <w:rFonts w:ascii="Arial" w:hAnsi="Arial" w:cs="Arial"/>
        <w:i/>
        <w:iCs/>
        <w:color w:val="004B91"/>
        <w:sz w:val="18"/>
        <w:szCs w:val="18"/>
      </w:rPr>
      <w:t xml:space="preserve">www.jblearning.com  </w:t>
    </w:r>
    <w:r w:rsidRPr="009F6E9C">
      <w:rPr>
        <w:rFonts w:ascii="Arial" w:hAnsi="Arial" w:cs="Arial"/>
        <w:i/>
        <w:iCs/>
        <w:sz w:val="18"/>
        <w:szCs w:val="18"/>
      </w:rPr>
      <w:tab/>
    </w:r>
    <w:r w:rsidRPr="00C60244">
      <w:rPr>
        <w:rFonts w:ascii="Arial" w:hAnsi="Arial" w:cs="Arial"/>
        <w:iCs/>
        <w:sz w:val="18"/>
        <w:szCs w:val="18"/>
      </w:rPr>
      <w:t xml:space="preserve">Page </w:t>
    </w:r>
    <w:r w:rsidR="00C60244" w:rsidRPr="00C60244">
      <w:rPr>
        <w:rFonts w:ascii="Arial" w:hAnsi="Arial" w:cs="Arial"/>
        <w:iCs/>
        <w:sz w:val="18"/>
        <w:szCs w:val="18"/>
      </w:rPr>
      <w:fldChar w:fldCharType="begin"/>
    </w:r>
    <w:r w:rsidR="00C60244" w:rsidRPr="00C60244">
      <w:rPr>
        <w:rFonts w:ascii="Arial" w:hAnsi="Arial" w:cs="Arial"/>
        <w:iCs/>
        <w:sz w:val="18"/>
        <w:szCs w:val="18"/>
      </w:rPr>
      <w:instrText xml:space="preserve"> PAGE   \* MERGEFORMAT </w:instrText>
    </w:r>
    <w:r w:rsidR="00C60244" w:rsidRPr="00C60244">
      <w:rPr>
        <w:rFonts w:ascii="Arial" w:hAnsi="Arial" w:cs="Arial"/>
        <w:iCs/>
        <w:sz w:val="18"/>
        <w:szCs w:val="18"/>
      </w:rPr>
      <w:fldChar w:fldCharType="separate"/>
    </w:r>
    <w:r w:rsidR="00E64A18">
      <w:rPr>
        <w:rFonts w:ascii="Arial" w:hAnsi="Arial" w:cs="Arial"/>
        <w:iCs/>
        <w:noProof/>
        <w:sz w:val="18"/>
        <w:szCs w:val="18"/>
      </w:rPr>
      <w:t>1</w:t>
    </w:r>
    <w:r w:rsidR="00C60244" w:rsidRPr="00C60244">
      <w:rPr>
        <w:rFonts w:ascii="Arial" w:hAnsi="Arial" w:cs="Arial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AFBA9" w14:textId="77777777" w:rsidR="007B4405" w:rsidRDefault="007B4405" w:rsidP="002C4320">
      <w:pPr>
        <w:spacing w:after="0" w:line="240" w:lineRule="auto"/>
      </w:pPr>
      <w:r>
        <w:separator/>
      </w:r>
    </w:p>
  </w:footnote>
  <w:footnote w:type="continuationSeparator" w:id="0">
    <w:p w14:paraId="41803B78" w14:textId="77777777" w:rsidR="007B4405" w:rsidRDefault="007B4405" w:rsidP="002C4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8" w:space="0" w:color="FFC000"/>
        <w:right w:val="none" w:sz="0" w:space="0" w:color="auto"/>
        <w:insideH w:val="none" w:sz="0" w:space="0" w:color="auto"/>
        <w:insideV w:val="none" w:sz="0" w:space="0" w:color="auto"/>
      </w:tblBorders>
      <w:tblCellMar>
        <w:left w:w="14" w:type="dxa"/>
        <w:right w:w="14" w:type="dxa"/>
      </w:tblCellMar>
      <w:tblLook w:val="04A0" w:firstRow="1" w:lastRow="0" w:firstColumn="1" w:lastColumn="0" w:noHBand="0" w:noVBand="1"/>
    </w:tblPr>
    <w:tblGrid>
      <w:gridCol w:w="2354"/>
      <w:gridCol w:w="7006"/>
    </w:tblGrid>
    <w:tr w:rsidR="0099329B" w14:paraId="29DB5646" w14:textId="77777777" w:rsidTr="0042051D">
      <w:trPr>
        <w:trHeight w:hRule="exact" w:val="1080"/>
      </w:trPr>
      <w:tc>
        <w:tcPr>
          <w:tcW w:w="2361" w:type="dxa"/>
        </w:tcPr>
        <w:p w14:paraId="18C96F0F" w14:textId="77777777" w:rsidR="0099329B" w:rsidRDefault="0099329B" w:rsidP="0099329B">
          <w:pPr>
            <w:pStyle w:val="Header"/>
            <w:rPr>
              <w:rFonts w:ascii="Cambria" w:hAnsi="Cambria" w:cs="Cambria"/>
              <w:color w:val="000000"/>
              <w:sz w:val="32"/>
              <w:szCs w:val="32"/>
            </w:rPr>
          </w:pPr>
          <w:r w:rsidRPr="00056E4C">
            <w:rPr>
              <w:i/>
              <w:noProof/>
            </w:rPr>
            <w:drawing>
              <wp:anchor distT="0" distB="0" distL="0" distR="274320" simplePos="0" relativeHeight="251657216" behindDoc="0" locked="0" layoutInCell="1" allowOverlap="1" wp14:anchorId="72C89116" wp14:editId="1372E6D7">
                <wp:simplePos x="0" y="0"/>
                <wp:positionH relativeFrom="column">
                  <wp:posOffset>5080</wp:posOffset>
                </wp:positionH>
                <wp:positionV relativeFrom="paragraph">
                  <wp:posOffset>-115570</wp:posOffset>
                </wp:positionV>
                <wp:extent cx="1362075" cy="621665"/>
                <wp:effectExtent l="0" t="0" r="0" b="0"/>
                <wp:wrapSquare wrapText="right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C8A88.t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075" cy="621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15" w:type="dxa"/>
          <w:vAlign w:val="bottom"/>
        </w:tcPr>
        <w:p w14:paraId="02B66207" w14:textId="77777777" w:rsidR="0099329B" w:rsidRPr="00E60A2C" w:rsidRDefault="00BA45C8" w:rsidP="00BD29C2">
          <w:pPr>
            <w:pStyle w:val="Header"/>
            <w:spacing w:after="0" w:line="240" w:lineRule="auto"/>
            <w:rPr>
              <w:rFonts w:ascii="Arial" w:hAnsi="Arial" w:cs="Arial"/>
              <w:color w:val="004B91"/>
              <w:sz w:val="32"/>
              <w:szCs w:val="32"/>
            </w:rPr>
          </w:pPr>
          <w:r>
            <w:rPr>
              <w:rFonts w:ascii="Arial" w:hAnsi="Arial" w:cs="Arial"/>
              <w:color w:val="004B91"/>
              <w:sz w:val="30"/>
              <w:szCs w:val="30"/>
            </w:rPr>
            <w:t>Match</w:t>
          </w:r>
          <w:r w:rsidR="008B0CB5">
            <w:rPr>
              <w:rFonts w:ascii="Arial" w:hAnsi="Arial" w:cs="Arial"/>
              <w:color w:val="004B91"/>
              <w:sz w:val="30"/>
              <w:szCs w:val="30"/>
            </w:rPr>
            <w:t xml:space="preserve"> Risk and Response Descriptions</w:t>
          </w:r>
        </w:p>
      </w:tc>
    </w:tr>
  </w:tbl>
  <w:p w14:paraId="5E8989F5" w14:textId="77777777" w:rsidR="00044605" w:rsidRPr="00162288" w:rsidRDefault="00044605" w:rsidP="009F6E9C">
    <w:pPr>
      <w:pStyle w:val="Header"/>
      <w:rPr>
        <w:rFonts w:ascii="Cambria" w:hAnsi="Cambria" w:cs="Cambria"/>
        <w:color w:val="000000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7536"/>
    <w:multiLevelType w:val="hybridMultilevel"/>
    <w:tmpl w:val="C79664B6"/>
    <w:lvl w:ilvl="0" w:tplc="D60633A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97812"/>
    <w:multiLevelType w:val="hybridMultilevel"/>
    <w:tmpl w:val="3B688F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7304C"/>
    <w:multiLevelType w:val="hybridMultilevel"/>
    <w:tmpl w:val="36502D4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14547"/>
    <w:multiLevelType w:val="hybridMultilevel"/>
    <w:tmpl w:val="F40E7E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45E46"/>
    <w:multiLevelType w:val="hybridMultilevel"/>
    <w:tmpl w:val="68B2D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47386"/>
    <w:multiLevelType w:val="hybridMultilevel"/>
    <w:tmpl w:val="39A2792A"/>
    <w:lvl w:ilvl="0" w:tplc="D60633A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E14BC"/>
    <w:multiLevelType w:val="hybridMultilevel"/>
    <w:tmpl w:val="83D86658"/>
    <w:lvl w:ilvl="0" w:tplc="07FE0D3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4080B"/>
    <w:multiLevelType w:val="multilevel"/>
    <w:tmpl w:val="8C9CBF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D872172"/>
    <w:multiLevelType w:val="hybridMultilevel"/>
    <w:tmpl w:val="B0205E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83368"/>
    <w:multiLevelType w:val="hybridMultilevel"/>
    <w:tmpl w:val="CC627E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0A27DFA"/>
    <w:multiLevelType w:val="hybridMultilevel"/>
    <w:tmpl w:val="1B7003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C4E69"/>
    <w:multiLevelType w:val="hybridMultilevel"/>
    <w:tmpl w:val="BC1AC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06B44"/>
    <w:multiLevelType w:val="hybridMultilevel"/>
    <w:tmpl w:val="A1F026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53572"/>
    <w:multiLevelType w:val="hybridMultilevel"/>
    <w:tmpl w:val="08342950"/>
    <w:lvl w:ilvl="0" w:tplc="BABC6318">
      <w:numFmt w:val="bullet"/>
      <w:lvlText w:val=""/>
      <w:lvlJc w:val="left"/>
      <w:pPr>
        <w:ind w:left="405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C033A6"/>
    <w:multiLevelType w:val="hybridMultilevel"/>
    <w:tmpl w:val="330A97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872C2"/>
    <w:multiLevelType w:val="hybridMultilevel"/>
    <w:tmpl w:val="7EC84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2B16F9"/>
    <w:multiLevelType w:val="hybridMultilevel"/>
    <w:tmpl w:val="8C401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4555B"/>
    <w:multiLevelType w:val="hybridMultilevel"/>
    <w:tmpl w:val="6A16317E"/>
    <w:lvl w:ilvl="0" w:tplc="1C94CAE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FA3E02"/>
    <w:multiLevelType w:val="hybridMultilevel"/>
    <w:tmpl w:val="A4723B78"/>
    <w:lvl w:ilvl="0" w:tplc="3F66B7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389180">
    <w:abstractNumId w:val="13"/>
  </w:num>
  <w:num w:numId="2" w16cid:durableId="85659148">
    <w:abstractNumId w:val="4"/>
  </w:num>
  <w:num w:numId="3" w16cid:durableId="863665895">
    <w:abstractNumId w:val="18"/>
  </w:num>
  <w:num w:numId="4" w16cid:durableId="1456218200">
    <w:abstractNumId w:val="7"/>
  </w:num>
  <w:num w:numId="5" w16cid:durableId="2038966106">
    <w:abstractNumId w:val="6"/>
  </w:num>
  <w:num w:numId="6" w16cid:durableId="422264120">
    <w:abstractNumId w:val="17"/>
  </w:num>
  <w:num w:numId="7" w16cid:durableId="1878927021">
    <w:abstractNumId w:val="0"/>
  </w:num>
  <w:num w:numId="8" w16cid:durableId="258409911">
    <w:abstractNumId w:val="5"/>
  </w:num>
  <w:num w:numId="9" w16cid:durableId="1188830297">
    <w:abstractNumId w:val="14"/>
  </w:num>
  <w:num w:numId="10" w16cid:durableId="2045866651">
    <w:abstractNumId w:val="8"/>
  </w:num>
  <w:num w:numId="11" w16cid:durableId="5903578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65535586">
    <w:abstractNumId w:val="11"/>
  </w:num>
  <w:num w:numId="13" w16cid:durableId="1600064694">
    <w:abstractNumId w:val="2"/>
  </w:num>
  <w:num w:numId="14" w16cid:durableId="131722578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92531102">
    <w:abstractNumId w:val="12"/>
  </w:num>
  <w:num w:numId="16" w16cid:durableId="1983386669">
    <w:abstractNumId w:val="10"/>
  </w:num>
  <w:num w:numId="17" w16cid:durableId="20355749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151109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9171154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320"/>
    <w:rsid w:val="00035A34"/>
    <w:rsid w:val="00044605"/>
    <w:rsid w:val="000741ED"/>
    <w:rsid w:val="000952E3"/>
    <w:rsid w:val="0009690B"/>
    <w:rsid w:val="000A5A15"/>
    <w:rsid w:val="000C0BDF"/>
    <w:rsid w:val="00117A7C"/>
    <w:rsid w:val="00126664"/>
    <w:rsid w:val="00146665"/>
    <w:rsid w:val="00162288"/>
    <w:rsid w:val="00175D73"/>
    <w:rsid w:val="00197979"/>
    <w:rsid w:val="00215F8F"/>
    <w:rsid w:val="00226A90"/>
    <w:rsid w:val="002459E8"/>
    <w:rsid w:val="002A243A"/>
    <w:rsid w:val="002B70DC"/>
    <w:rsid w:val="002C4320"/>
    <w:rsid w:val="002E0940"/>
    <w:rsid w:val="002F11CC"/>
    <w:rsid w:val="00304FE9"/>
    <w:rsid w:val="00320CE0"/>
    <w:rsid w:val="003551C3"/>
    <w:rsid w:val="003770C8"/>
    <w:rsid w:val="003961B2"/>
    <w:rsid w:val="003E3116"/>
    <w:rsid w:val="003F2F69"/>
    <w:rsid w:val="004006C5"/>
    <w:rsid w:val="0042051D"/>
    <w:rsid w:val="004B5FB8"/>
    <w:rsid w:val="005638CC"/>
    <w:rsid w:val="00585E3F"/>
    <w:rsid w:val="005C6724"/>
    <w:rsid w:val="005D5C9D"/>
    <w:rsid w:val="005E5AA9"/>
    <w:rsid w:val="006173EA"/>
    <w:rsid w:val="006A7241"/>
    <w:rsid w:val="006B03BF"/>
    <w:rsid w:val="00730D68"/>
    <w:rsid w:val="007B4405"/>
    <w:rsid w:val="0082708E"/>
    <w:rsid w:val="00830C88"/>
    <w:rsid w:val="0089468E"/>
    <w:rsid w:val="008B0CB5"/>
    <w:rsid w:val="008B4426"/>
    <w:rsid w:val="0099329B"/>
    <w:rsid w:val="009A1AA8"/>
    <w:rsid w:val="009B0E72"/>
    <w:rsid w:val="009F029E"/>
    <w:rsid w:val="009F4799"/>
    <w:rsid w:val="009F6E9C"/>
    <w:rsid w:val="00A67E78"/>
    <w:rsid w:val="00AA46DE"/>
    <w:rsid w:val="00AC4AAE"/>
    <w:rsid w:val="00B4706D"/>
    <w:rsid w:val="00BA45C8"/>
    <w:rsid w:val="00BD29C2"/>
    <w:rsid w:val="00BD30ED"/>
    <w:rsid w:val="00BF7A28"/>
    <w:rsid w:val="00C32815"/>
    <w:rsid w:val="00C429C4"/>
    <w:rsid w:val="00C60244"/>
    <w:rsid w:val="00C85457"/>
    <w:rsid w:val="00C9285C"/>
    <w:rsid w:val="00C96C89"/>
    <w:rsid w:val="00CD1419"/>
    <w:rsid w:val="00D20DC1"/>
    <w:rsid w:val="00D511A0"/>
    <w:rsid w:val="00D53D9C"/>
    <w:rsid w:val="00D7186A"/>
    <w:rsid w:val="00E60A2C"/>
    <w:rsid w:val="00E64A18"/>
    <w:rsid w:val="00E67E53"/>
    <w:rsid w:val="00E73947"/>
    <w:rsid w:val="00EA6213"/>
    <w:rsid w:val="00ED5354"/>
    <w:rsid w:val="00EE1C64"/>
    <w:rsid w:val="00F65BA9"/>
    <w:rsid w:val="00F962B6"/>
    <w:rsid w:val="00FB0E44"/>
    <w:rsid w:val="00FB10A8"/>
    <w:rsid w:val="00FB5BE5"/>
    <w:rsid w:val="00FC6BA4"/>
    <w:rsid w:val="00FE1C51"/>
    <w:rsid w:val="00FF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0487A9"/>
  <w15:docId w15:val="{A3E06370-64E4-48EB-ACFA-965689BD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32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B5BE5"/>
    <w:pPr>
      <w:keepNext/>
      <w:spacing w:before="240" w:after="60" w:line="240" w:lineRule="atLeast"/>
      <w:outlineLvl w:val="1"/>
    </w:pPr>
    <w:rPr>
      <w:rFonts w:ascii="Arial" w:eastAsia="Batang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2C4320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4320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2C432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C4320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2C4320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32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4320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qFormat/>
    <w:rsid w:val="002C4320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C432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C4320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43A"/>
    <w:pPr>
      <w:spacing w:line="240" w:lineRule="auto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A243A"/>
    <w:rPr>
      <w:rFonts w:ascii="Calibri" w:eastAsia="Calibri" w:hAnsi="Calibri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3E3116"/>
    <w:rPr>
      <w:sz w:val="22"/>
      <w:szCs w:val="22"/>
    </w:rPr>
  </w:style>
  <w:style w:type="table" w:styleId="TableGrid">
    <w:name w:val="Table Grid"/>
    <w:basedOn w:val="TableNormal"/>
    <w:uiPriority w:val="59"/>
    <w:rsid w:val="00993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228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FB5BE5"/>
    <w:rPr>
      <w:rFonts w:ascii="Arial" w:eastAsia="Batang" w:hAnsi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VHA Inc.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jkorelc</dc:creator>
  <cp:lastModifiedBy>Ayomide Stephen Oyedele</cp:lastModifiedBy>
  <cp:revision>7</cp:revision>
  <dcterms:created xsi:type="dcterms:W3CDTF">2016-07-26T21:33:00Z</dcterms:created>
  <dcterms:modified xsi:type="dcterms:W3CDTF">2024-02-05T17:22:00Z</dcterms:modified>
</cp:coreProperties>
</file>