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rFonts w:ascii="Arial" w:cs="Arial" w:eastAsia="Arial" w:hAnsi="Arial"/>
          <w:b w:val="1"/>
          <w:bCs w:val="1"/>
          <w:color w:val="2d1674"/>
          <w:sz w:val="40"/>
          <w:szCs w:val="40"/>
          <w:rtl w:val="0"/>
        </w:rPr>
        <w:t xml:space="preserve">SUPERSTORE SALES PERFORMANCE</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color w:val="a22492"/>
          <w:sz w:val="26"/>
          <w:szCs w:val="26"/>
          <w:rtl w:val="0"/>
        </w:rPr>
        <w:t xml:space="preserve">Dashboard Narrative Report</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color w:val="555555"/>
          <w:sz w:val="20"/>
          <w:szCs w:val="20"/>
          <w:rtl w:val="0"/>
        </w:rPr>
        <w:t xml:space="preserve">Prepared by: Ayodele Owolabi</w:t>
      </w:r>
      <w:r w:rsidDel="00000000" w:rsidR="00000000" w:rsidRPr="00000000">
        <w:rPr>
          <w:rtl w:val="0"/>
        </w:rPr>
      </w:r>
    </w:p>
    <w:p w:rsidR="00000000" w:rsidDel="00000000" w:rsidP="00000000" w:rsidRDefault="00000000" w:rsidRPr="00000000" w14:paraId="00000004">
      <w:pPr>
        <w:spacing w:after="360" w:before="0" w:lineRule="auto"/>
        <w:jc w:val="center"/>
        <w:rPr/>
      </w:pPr>
      <w:r w:rsidDel="00000000" w:rsidR="00000000" w:rsidRPr="00000000">
        <w:rPr>
          <w:rFonts w:ascii="Arial" w:cs="Arial" w:eastAsia="Arial" w:hAnsi="Arial"/>
          <w:color w:val="555555"/>
          <w:sz w:val="20"/>
          <w:szCs w:val="20"/>
          <w:rtl w:val="0"/>
        </w:rPr>
        <w:t xml:space="preserve">Tool: Microsoft Power BI  |  Dataset: Superstore Retail</w:t>
      </w:r>
      <w:r w:rsidDel="00000000" w:rsidR="00000000" w:rsidRPr="00000000">
        <w:rPr>
          <w:rtl w:val="0"/>
        </w:rPr>
      </w:r>
    </w:p>
    <w:p w:rsidR="00000000" w:rsidDel="00000000" w:rsidP="00000000" w:rsidRDefault="00000000" w:rsidRPr="00000000" w14:paraId="00000005">
      <w:pPr>
        <w:pBdr>
          <w:bottom w:color="2d1674" w:space="1" w:sz="6" w:val="single"/>
        </w:pBdr>
        <w:spacing w:after="240" w:before="0" w:lineRule="auto"/>
        <w:rPr/>
      </w:pPr>
      <w:r w:rsidDel="00000000" w:rsidR="00000000" w:rsidRPr="00000000">
        <w:rPr>
          <w:rtl w:val="0"/>
        </w:rPr>
      </w:r>
    </w:p>
    <w:p w:rsidR="00000000" w:rsidDel="00000000" w:rsidP="00000000" w:rsidRDefault="00000000" w:rsidRPr="00000000" w14:paraId="00000006">
      <w:pPr>
        <w:pStyle w:val="Heading1"/>
        <w:spacing w:after="180" w:before="360" w:lineRule="auto"/>
        <w:rPr/>
      </w:pPr>
      <w:r w:rsidDel="00000000" w:rsidR="00000000" w:rsidRPr="00000000">
        <w:rPr>
          <w:rFonts w:ascii="Arial" w:cs="Arial" w:eastAsia="Arial" w:hAnsi="Arial"/>
          <w:b w:val="1"/>
          <w:bCs w:val="1"/>
          <w:color w:val="2d1674"/>
          <w:sz w:val="32"/>
          <w:szCs w:val="32"/>
          <w:rtl w:val="0"/>
        </w:rPr>
        <w:t xml:space="preserve">1. Executive Summary</w:t>
      </w:r>
      <w:r w:rsidDel="00000000" w:rsidR="00000000" w:rsidRPr="00000000">
        <w:rPr>
          <w:rtl w:val="0"/>
        </w:rPr>
      </w:r>
    </w:p>
    <w:p w:rsidR="00000000" w:rsidDel="00000000" w:rsidP="00000000" w:rsidRDefault="00000000" w:rsidRPr="00000000" w14:paraId="00000007">
      <w:pPr>
        <w:spacing w:after="120" w:before="80" w:lineRule="auto"/>
        <w:rPr/>
      </w:pPr>
      <w:r w:rsidDel="00000000" w:rsidR="00000000" w:rsidRPr="00000000">
        <w:rPr>
          <w:rFonts w:ascii="Arial" w:cs="Arial" w:eastAsia="Arial" w:hAnsi="Arial"/>
          <w:sz w:val="22"/>
          <w:szCs w:val="22"/>
          <w:rtl w:val="0"/>
        </w:rPr>
        <w:t xml:space="preserve">This report explains the Superstore Sales Performance dashboard in plain English. It is written for anyone who wants to understand what the dashboard shows, what the numbers mean, and what business conclusions can be drawn from them — without needing any technical knowledge of Power BI or data analysis.</w:t>
      </w:r>
      <w:r w:rsidDel="00000000" w:rsidR="00000000" w:rsidRPr="00000000">
        <w:rPr>
          <w:rtl w:val="0"/>
        </w:rPr>
      </w:r>
    </w:p>
    <w:p w:rsidR="00000000" w:rsidDel="00000000" w:rsidP="00000000" w:rsidRDefault="00000000" w:rsidRPr="00000000" w14:paraId="00000008">
      <w:pPr>
        <w:spacing w:after="120" w:before="80" w:lineRule="auto"/>
        <w:rPr/>
      </w:pPr>
      <w:r w:rsidDel="00000000" w:rsidR="00000000" w:rsidRPr="00000000">
        <w:rPr>
          <w:rFonts w:ascii="Arial" w:cs="Arial" w:eastAsia="Arial" w:hAnsi="Arial"/>
          <w:sz w:val="22"/>
          <w:szCs w:val="22"/>
          <w:rtl w:val="0"/>
        </w:rPr>
        <w:t xml:space="preserve">The dashboard was built using four years of retail transaction data (2014 to 2017) from a fictional US-based superstore selling products across three main categories: Technology, Furniture, and Office Supplies. Over that period the business generated $2.30 million in total sales, $286,000 in profit, and processed over 5,000 individual orders.</w:t>
      </w:r>
      <w:r w:rsidDel="00000000" w:rsidR="00000000" w:rsidRPr="00000000">
        <w:rPr>
          <w:rtl w:val="0"/>
        </w:rPr>
      </w:r>
    </w:p>
    <w:p w:rsidR="00000000" w:rsidDel="00000000" w:rsidP="00000000" w:rsidRDefault="00000000" w:rsidRPr="00000000" w14:paraId="00000009">
      <w:pPr>
        <w:spacing w:after="160" w:before="0" w:lineRule="auto"/>
        <w:rPr/>
      </w:pPr>
      <w:r w:rsidDel="00000000" w:rsidR="00000000" w:rsidRPr="00000000">
        <w:rPr>
          <w:rtl w:val="0"/>
        </w:rPr>
      </w:r>
    </w:p>
    <w:p w:rsidR="00000000" w:rsidDel="00000000" w:rsidP="00000000" w:rsidRDefault="00000000" w:rsidRPr="00000000" w14:paraId="0000000A">
      <w:pPr>
        <w:pStyle w:val="Heading2"/>
        <w:spacing w:after="120" w:before="240" w:lineRule="auto"/>
        <w:rPr/>
      </w:pPr>
      <w:r w:rsidDel="00000000" w:rsidR="00000000" w:rsidRPr="00000000">
        <w:rPr>
          <w:rFonts w:ascii="Arial" w:cs="Arial" w:eastAsia="Arial" w:hAnsi="Arial"/>
          <w:b w:val="1"/>
          <w:bCs w:val="1"/>
          <w:color w:val="a22492"/>
          <w:sz w:val="26"/>
          <w:szCs w:val="26"/>
          <w:rtl w:val="0"/>
        </w:rPr>
        <w:t xml:space="preserve">At a Glance — Key Numbers</w:t>
      </w:r>
      <w:r w:rsidDel="00000000" w:rsidR="00000000" w:rsidRPr="00000000">
        <w:rPr>
          <w:rtl w:val="0"/>
        </w:rPr>
      </w:r>
    </w:p>
    <w:p w:rsidR="00000000" w:rsidDel="00000000" w:rsidP="00000000" w:rsidRDefault="00000000" w:rsidRPr="00000000" w14:paraId="0000000B">
      <w:pPr>
        <w:spacing w:after="16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2d1674" w:space="0" w:sz="4" w:val="single"/>
              <w:left w:color="2d1674" w:space="0" w:sz="4" w:val="single"/>
              <w:bottom w:color="2d1674" w:space="0" w:sz="4" w:val="single"/>
              <w:right w:color="2d1674" w:space="0" w:sz="4" w:val="single"/>
            </w:tcBorders>
            <w:shd w:fill="2d1674" w:val="clear"/>
            <w:tcMar>
              <w:top w:w="120.0" w:type="dxa"/>
              <w:left w:w="160.0" w:type="dxa"/>
              <w:bottom w:w="120.0" w:type="dxa"/>
              <w:right w:w="160.0" w:type="dxa"/>
            </w:tcMar>
          </w:tcPr>
          <w:p w:rsidR="00000000" w:rsidDel="00000000" w:rsidP="00000000" w:rsidRDefault="00000000" w:rsidRPr="00000000" w14:paraId="0000000C">
            <w:pPr>
              <w:jc w:val="center"/>
              <w:rPr/>
            </w:pPr>
            <w:r w:rsidDel="00000000" w:rsidR="00000000" w:rsidRPr="00000000">
              <w:rPr>
                <w:rFonts w:ascii="Arial" w:cs="Arial" w:eastAsia="Arial" w:hAnsi="Arial"/>
                <w:b w:val="1"/>
                <w:bCs w:val="1"/>
                <w:color w:val="ffffff"/>
                <w:sz w:val="28"/>
                <w:szCs w:val="28"/>
                <w:rtl w:val="0"/>
              </w:rPr>
              <w:t xml:space="preserve">$2.30M</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Arial" w:cs="Arial" w:eastAsia="Arial" w:hAnsi="Arial"/>
                <w:color w:val="dddddd"/>
                <w:sz w:val="18"/>
                <w:szCs w:val="18"/>
                <w:rtl w:val="0"/>
              </w:rPr>
              <w:t xml:space="preserve">Total Sales</w:t>
            </w:r>
            <w:r w:rsidDel="00000000" w:rsidR="00000000" w:rsidRPr="00000000">
              <w:rPr>
                <w:rtl w:val="0"/>
              </w:rPr>
            </w:r>
          </w:p>
        </w:tc>
        <w:tc>
          <w:tcPr>
            <w:tcBorders>
              <w:top w:color="2d1674" w:space="0" w:sz="4" w:val="single"/>
              <w:left w:color="2d1674" w:space="0" w:sz="4" w:val="single"/>
              <w:bottom w:color="2d1674" w:space="0" w:sz="4" w:val="single"/>
              <w:right w:color="2d1674" w:space="0" w:sz="4" w:val="single"/>
            </w:tcBorders>
            <w:shd w:fill="a22492" w:val="clear"/>
            <w:tcMar>
              <w:top w:w="120.0" w:type="dxa"/>
              <w:left w:w="160.0" w:type="dxa"/>
              <w:bottom w:w="120.0" w:type="dxa"/>
              <w:right w:w="160.0" w:type="dxa"/>
            </w:tcMar>
          </w:tcPr>
          <w:p w:rsidR="00000000" w:rsidDel="00000000" w:rsidP="00000000" w:rsidRDefault="00000000" w:rsidRPr="00000000" w14:paraId="0000000E">
            <w:pPr>
              <w:jc w:val="center"/>
              <w:rPr/>
            </w:pPr>
            <w:r w:rsidDel="00000000" w:rsidR="00000000" w:rsidRPr="00000000">
              <w:rPr>
                <w:rFonts w:ascii="Arial" w:cs="Arial" w:eastAsia="Arial" w:hAnsi="Arial"/>
                <w:b w:val="1"/>
                <w:bCs w:val="1"/>
                <w:color w:val="ffffff"/>
                <w:sz w:val="28"/>
                <w:szCs w:val="28"/>
                <w:rtl w:val="0"/>
              </w:rPr>
              <w:t xml:space="preserve">$286.41K</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Arial" w:cs="Arial" w:eastAsia="Arial" w:hAnsi="Arial"/>
                <w:color w:val="dddddd"/>
                <w:sz w:val="18"/>
                <w:szCs w:val="18"/>
                <w:rtl w:val="0"/>
              </w:rPr>
              <w:t xml:space="preserve">Total Profit</w:t>
            </w:r>
            <w:r w:rsidDel="00000000" w:rsidR="00000000" w:rsidRPr="00000000">
              <w:rPr>
                <w:rtl w:val="0"/>
              </w:rPr>
            </w:r>
          </w:p>
        </w:tc>
        <w:tc>
          <w:tcPr>
            <w:tcBorders>
              <w:top w:color="2d1674" w:space="0" w:sz="4" w:val="single"/>
              <w:left w:color="2d1674" w:space="0" w:sz="4" w:val="single"/>
              <w:bottom w:color="2d1674" w:space="0" w:sz="4" w:val="single"/>
              <w:right w:color="2d1674" w:space="0" w:sz="4" w:val="single"/>
            </w:tcBorders>
            <w:shd w:fill="2d1674" w:val="clear"/>
            <w:tcMar>
              <w:top w:w="120.0" w:type="dxa"/>
              <w:left w:w="160.0" w:type="dxa"/>
              <w:bottom w:w="120.0" w:type="dxa"/>
              <w:right w:w="160.0" w:type="dxa"/>
            </w:tcMar>
          </w:tcPr>
          <w:p w:rsidR="00000000" w:rsidDel="00000000" w:rsidP="00000000" w:rsidRDefault="00000000" w:rsidRPr="00000000" w14:paraId="00000010">
            <w:pPr>
              <w:jc w:val="center"/>
              <w:rPr/>
            </w:pPr>
            <w:r w:rsidDel="00000000" w:rsidR="00000000" w:rsidRPr="00000000">
              <w:rPr>
                <w:rFonts w:ascii="Arial" w:cs="Arial" w:eastAsia="Arial" w:hAnsi="Arial"/>
                <w:b w:val="1"/>
                <w:bCs w:val="1"/>
                <w:color w:val="ffffff"/>
                <w:sz w:val="28"/>
                <w:szCs w:val="28"/>
                <w:rtl w:val="0"/>
              </w:rPr>
              <w:t xml:space="preserve">12.47%</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rFonts w:ascii="Arial" w:cs="Arial" w:eastAsia="Arial" w:hAnsi="Arial"/>
                <w:color w:val="dddddd"/>
                <w:sz w:val="18"/>
                <w:szCs w:val="18"/>
                <w:rtl w:val="0"/>
              </w:rPr>
              <w:t xml:space="preserve">Profit Margin %</w:t>
            </w:r>
            <w:r w:rsidDel="00000000" w:rsidR="00000000" w:rsidRPr="00000000">
              <w:rPr>
                <w:rtl w:val="0"/>
              </w:rPr>
            </w:r>
          </w:p>
        </w:tc>
        <w:tc>
          <w:tcPr>
            <w:tcBorders>
              <w:top w:color="2d1674" w:space="0" w:sz="4" w:val="single"/>
              <w:left w:color="2d1674" w:space="0" w:sz="4" w:val="single"/>
              <w:bottom w:color="2d1674" w:space="0" w:sz="4" w:val="single"/>
              <w:right w:color="2d1674" w:space="0" w:sz="4" w:val="single"/>
            </w:tcBorders>
            <w:shd w:fill="a22492" w:val="clear"/>
            <w:tcMar>
              <w:top w:w="120.0" w:type="dxa"/>
              <w:left w:w="160.0" w:type="dxa"/>
              <w:bottom w:w="120.0" w:type="dxa"/>
              <w:right w:w="160.0" w:type="dxa"/>
            </w:tcMar>
          </w:tcPr>
          <w:p w:rsidR="00000000" w:rsidDel="00000000" w:rsidP="00000000" w:rsidRDefault="00000000" w:rsidRPr="00000000" w14:paraId="00000012">
            <w:pPr>
              <w:jc w:val="center"/>
              <w:rPr/>
            </w:pPr>
            <w:r w:rsidDel="00000000" w:rsidR="00000000" w:rsidRPr="00000000">
              <w:rPr>
                <w:rFonts w:ascii="Arial" w:cs="Arial" w:eastAsia="Arial" w:hAnsi="Arial"/>
                <w:b w:val="1"/>
                <w:bCs w:val="1"/>
                <w:color w:val="ffffff"/>
                <w:sz w:val="28"/>
                <w:szCs w:val="28"/>
                <w:rtl w:val="0"/>
              </w:rPr>
              <w:t xml:space="preserve">$458.56</w:t>
            </w:r>
            <w:r w:rsidDel="00000000" w:rsidR="00000000" w:rsidRPr="00000000">
              <w:rPr>
                <w:rtl w:val="0"/>
              </w:rPr>
            </w:r>
          </w:p>
          <w:p w:rsidR="00000000" w:rsidDel="00000000" w:rsidP="00000000" w:rsidRDefault="00000000" w:rsidRPr="00000000" w14:paraId="00000013">
            <w:pPr>
              <w:jc w:val="center"/>
              <w:rPr/>
            </w:pPr>
            <w:r w:rsidDel="00000000" w:rsidR="00000000" w:rsidRPr="00000000">
              <w:rPr>
                <w:rFonts w:ascii="Arial" w:cs="Arial" w:eastAsia="Arial" w:hAnsi="Arial"/>
                <w:color w:val="dddddd"/>
                <w:sz w:val="18"/>
                <w:szCs w:val="18"/>
                <w:rtl w:val="0"/>
              </w:rPr>
              <w:t xml:space="preserve">Avg Order Value</w:t>
            </w:r>
            <w:r w:rsidDel="00000000" w:rsidR="00000000" w:rsidRPr="00000000">
              <w:rPr>
                <w:rtl w:val="0"/>
              </w:rPr>
            </w:r>
          </w:p>
        </w:tc>
      </w:tr>
    </w:tbl>
    <w:p w:rsidR="00000000" w:rsidDel="00000000" w:rsidP="00000000" w:rsidRDefault="00000000" w:rsidRPr="00000000" w14:paraId="00000014">
      <w:pPr>
        <w:spacing w:after="160" w:before="160" w:lineRule="auto"/>
        <w:rPr/>
      </w:pPr>
      <w:r w:rsidDel="00000000" w:rsidR="00000000" w:rsidRPr="00000000">
        <w:rPr>
          <w:rtl w:val="0"/>
        </w:rPr>
      </w:r>
    </w:p>
    <w:p w:rsidR="00000000" w:rsidDel="00000000" w:rsidP="00000000" w:rsidRDefault="00000000" w:rsidRPr="00000000" w14:paraId="00000015">
      <w:pPr>
        <w:spacing w:after="120" w:before="80" w:lineRule="auto"/>
        <w:rPr/>
      </w:pPr>
      <w:r w:rsidDel="00000000" w:rsidR="00000000" w:rsidRPr="00000000">
        <w:rPr>
          <w:rFonts w:ascii="Arial" w:cs="Arial" w:eastAsia="Arial" w:hAnsi="Arial"/>
          <w:sz w:val="22"/>
          <w:szCs w:val="22"/>
          <w:rtl w:val="0"/>
        </w:rPr>
        <w:t xml:space="preserve">These four numbers sit at the top of the dashboard and update automatically whenever a filter is applied. They give anyone looking at the dashboard an immediate snapshot of business health without having to read a single row of data.</w:t>
      </w:r>
      <w:r w:rsidDel="00000000" w:rsidR="00000000" w:rsidRPr="00000000">
        <w:rPr>
          <w:rtl w:val="0"/>
        </w:rPr>
      </w:r>
    </w:p>
    <w:p w:rsidR="00000000" w:rsidDel="00000000" w:rsidP="00000000" w:rsidRDefault="00000000" w:rsidRPr="00000000" w14:paraId="00000016">
      <w:pPr>
        <w:spacing w:after="160" w:before="0" w:lineRule="auto"/>
        <w:rPr/>
      </w:pPr>
      <w:r w:rsidDel="00000000" w:rsidR="00000000" w:rsidRPr="00000000">
        <w:rPr>
          <w:rtl w:val="0"/>
        </w:rPr>
      </w:r>
    </w:p>
    <w:p w:rsidR="00000000" w:rsidDel="00000000" w:rsidP="00000000" w:rsidRDefault="00000000" w:rsidRPr="00000000" w14:paraId="00000017">
      <w:pPr>
        <w:pStyle w:val="Heading1"/>
        <w:spacing w:after="180" w:before="360" w:lineRule="auto"/>
        <w:rPr/>
      </w:pPr>
      <w:r w:rsidDel="00000000" w:rsidR="00000000" w:rsidRPr="00000000">
        <w:rPr>
          <w:rFonts w:ascii="Arial" w:cs="Arial" w:eastAsia="Arial" w:hAnsi="Arial"/>
          <w:b w:val="1"/>
          <w:bCs w:val="1"/>
          <w:color w:val="2d1674"/>
          <w:sz w:val="32"/>
          <w:szCs w:val="32"/>
          <w:rtl w:val="0"/>
        </w:rPr>
        <w:t xml:space="preserve">2. What Each Part of the Dashboard Shows</w:t>
      </w:r>
      <w:r w:rsidDel="00000000" w:rsidR="00000000" w:rsidRPr="00000000">
        <w:rPr>
          <w:rtl w:val="0"/>
        </w:rPr>
      </w:r>
    </w:p>
    <w:p w:rsidR="00000000" w:rsidDel="00000000" w:rsidP="00000000" w:rsidRDefault="00000000" w:rsidRPr="00000000" w14:paraId="00000018">
      <w:pPr>
        <w:pStyle w:val="Heading2"/>
        <w:spacing w:after="120" w:before="240" w:lineRule="auto"/>
        <w:rPr/>
      </w:pPr>
      <w:r w:rsidDel="00000000" w:rsidR="00000000" w:rsidRPr="00000000">
        <w:rPr>
          <w:rFonts w:ascii="Arial" w:cs="Arial" w:eastAsia="Arial" w:hAnsi="Arial"/>
          <w:b w:val="1"/>
          <w:bCs w:val="1"/>
          <w:color w:val="a22492"/>
          <w:sz w:val="26"/>
          <w:szCs w:val="26"/>
          <w:rtl w:val="0"/>
        </w:rPr>
        <w:t xml:space="preserve">Sales by Category</w:t>
      </w:r>
      <w:r w:rsidDel="00000000" w:rsidR="00000000" w:rsidRPr="00000000">
        <w:rPr>
          <w:rtl w:val="0"/>
        </w:rPr>
      </w:r>
    </w:p>
    <w:p w:rsidR="00000000" w:rsidDel="00000000" w:rsidP="00000000" w:rsidRDefault="00000000" w:rsidRPr="00000000" w14:paraId="00000019">
      <w:pPr>
        <w:spacing w:after="120" w:before="80" w:lineRule="auto"/>
        <w:rPr/>
      </w:pPr>
      <w:r w:rsidDel="00000000" w:rsidR="00000000" w:rsidRPr="00000000">
        <w:rPr>
          <w:rFonts w:ascii="Arial" w:cs="Arial" w:eastAsia="Arial" w:hAnsi="Arial"/>
          <w:sz w:val="22"/>
          <w:szCs w:val="22"/>
          <w:rtl w:val="0"/>
        </w:rPr>
        <w:t xml:space="preserve">This horizontal bar chart answers one simple question: which product category is bringing in the most revenue?</w:t>
      </w:r>
      <w:r w:rsidDel="00000000" w:rsidR="00000000" w:rsidRPr="00000000">
        <w:rPr>
          <w:rtl w:val="0"/>
        </w:rPr>
      </w:r>
    </w:p>
    <w:p w:rsidR="00000000" w:rsidDel="00000000" w:rsidP="00000000" w:rsidRDefault="00000000" w:rsidRPr="00000000" w14:paraId="0000001A">
      <w:pPr>
        <w:spacing w:after="120" w:before="80" w:lineRule="auto"/>
        <w:rPr/>
      </w:pPr>
      <w:r w:rsidDel="00000000" w:rsidR="00000000" w:rsidRPr="00000000">
        <w:rPr>
          <w:rFonts w:ascii="Arial" w:cs="Arial" w:eastAsia="Arial" w:hAnsi="Arial"/>
          <w:sz w:val="22"/>
          <w:szCs w:val="22"/>
          <w:rtl w:val="0"/>
        </w:rPr>
        <w:t xml:space="preserve">Across the full four-year period:</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Technology is the top performing category, accounting for roughly 36% of total sales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Furniture comes second at approximately 32%</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 Supplies accounts for the remaining 32%</w:t>
      </w:r>
    </w:p>
    <w:p w:rsidR="00000000" w:rsidDel="00000000" w:rsidP="00000000" w:rsidRDefault="00000000" w:rsidRPr="00000000" w14:paraId="0000001E">
      <w:pPr>
        <w:spacing w:after="120" w:before="80" w:lineRule="auto"/>
        <w:rPr/>
      </w:pPr>
      <w:r w:rsidDel="00000000" w:rsidR="00000000" w:rsidRPr="00000000">
        <w:rPr>
          <w:rFonts w:ascii="Arial" w:cs="Arial" w:eastAsia="Arial" w:hAnsi="Arial"/>
          <w:sz w:val="22"/>
          <w:szCs w:val="22"/>
          <w:rtl w:val="0"/>
        </w:rPr>
        <w:t xml:space="preserve">At first glance Technology and Office Supplies seem like obvious winners, but this chart shows revenue only. A product category can generate high sales while still being unprofitable if margins are low — which is something the Profit Margin card helps flag. Furniture, for example, often carries high sales figures but lower margins due to shipping costs and discounting.</w:t>
      </w:r>
      <w:r w:rsidDel="00000000" w:rsidR="00000000" w:rsidRPr="00000000">
        <w:rPr>
          <w:rtl w:val="0"/>
        </w:rPr>
      </w:r>
    </w:p>
    <w:p w:rsidR="00000000" w:rsidDel="00000000" w:rsidP="00000000" w:rsidRDefault="00000000" w:rsidRPr="00000000" w14:paraId="0000001F">
      <w:pPr>
        <w:pStyle w:val="Heading2"/>
        <w:spacing w:after="120" w:before="240" w:lineRule="auto"/>
        <w:rPr/>
      </w:pPr>
      <w:r w:rsidDel="00000000" w:rsidR="00000000" w:rsidRPr="00000000">
        <w:rPr>
          <w:rFonts w:ascii="Arial" w:cs="Arial" w:eastAsia="Arial" w:hAnsi="Arial"/>
          <w:b w:val="1"/>
          <w:bCs w:val="1"/>
          <w:color w:val="a22492"/>
          <w:sz w:val="26"/>
          <w:szCs w:val="26"/>
          <w:rtl w:val="0"/>
        </w:rPr>
        <w:t xml:space="preserve">Sales Year-to-Date vs Last Year</w:t>
      </w:r>
      <w:r w:rsidDel="00000000" w:rsidR="00000000" w:rsidRPr="00000000">
        <w:rPr>
          <w:rtl w:val="0"/>
        </w:rPr>
      </w:r>
    </w:p>
    <w:p w:rsidR="00000000" w:rsidDel="00000000" w:rsidP="00000000" w:rsidRDefault="00000000" w:rsidRPr="00000000" w14:paraId="00000020">
      <w:pPr>
        <w:spacing w:after="120" w:before="80" w:lineRule="auto"/>
        <w:rPr/>
      </w:pPr>
      <w:r w:rsidDel="00000000" w:rsidR="00000000" w:rsidRPr="00000000">
        <w:rPr>
          <w:rFonts w:ascii="Arial" w:cs="Arial" w:eastAsia="Arial" w:hAnsi="Arial"/>
          <w:sz w:val="22"/>
          <w:szCs w:val="22"/>
          <w:rtl w:val="0"/>
        </w:rPr>
        <w:t xml:space="preserve">This line chart is one of the most powerful visuals on the dashboard. It tracks two things simultaneously:</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white line shows Sales Year-to-Date (YTD) — a running total of sales from the 1st of January up to each month</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orange line shows Sales Last Year (LY) — what sales looked like during the same period in the previous year</w:t>
      </w:r>
    </w:p>
    <w:p w:rsidR="00000000" w:rsidDel="00000000" w:rsidP="00000000" w:rsidRDefault="00000000" w:rsidRPr="00000000" w14:paraId="00000023">
      <w:pPr>
        <w:spacing w:after="120" w:before="80" w:lineRule="auto"/>
        <w:rPr/>
      </w:pPr>
      <w:r w:rsidDel="00000000" w:rsidR="00000000" w:rsidRPr="00000000">
        <w:rPr>
          <w:rFonts w:ascii="Arial" w:cs="Arial" w:eastAsia="Arial" w:hAnsi="Arial"/>
          <w:sz w:val="22"/>
          <w:szCs w:val="22"/>
          <w:rtl w:val="0"/>
        </w:rPr>
        <w:t xml:space="preserve">When the white line is above the orange line, the business is ahead of where it was at the same point last year. When it dips below, the business is behind. This makes it immediately obvious whether performance is improving or declining without needing to compare tables of numbers.</w:t>
      </w:r>
      <w:r w:rsidDel="00000000" w:rsidR="00000000" w:rsidRPr="00000000">
        <w:rPr>
          <w:rtl w:val="0"/>
        </w:rPr>
      </w:r>
    </w:p>
    <w:p w:rsidR="00000000" w:rsidDel="00000000" w:rsidP="00000000" w:rsidRDefault="00000000" w:rsidRPr="00000000" w14:paraId="00000024">
      <w:pPr>
        <w:spacing w:after="120" w:before="80" w:lineRule="auto"/>
        <w:rPr/>
      </w:pPr>
      <w:r w:rsidDel="00000000" w:rsidR="00000000" w:rsidRPr="00000000">
        <w:rPr>
          <w:rFonts w:ascii="Arial" w:cs="Arial" w:eastAsia="Arial" w:hAnsi="Arial"/>
          <w:sz w:val="22"/>
          <w:szCs w:val="22"/>
          <w:rtl w:val="0"/>
        </w:rPr>
        <w:t xml:space="preserve">Using the Year filter on the dashboard, you can select any individual year and watch both lines update instantly. For example, filtering to 2016 shows a strong upward trajectory with the YTD line climbing well above the 2015 comparison line, confirming a year of meaningful growth.</w:t>
      </w:r>
      <w:r w:rsidDel="00000000" w:rsidR="00000000" w:rsidRPr="00000000">
        <w:rPr>
          <w:rtl w:val="0"/>
        </w:rPr>
      </w:r>
    </w:p>
    <w:p w:rsidR="00000000" w:rsidDel="00000000" w:rsidP="00000000" w:rsidRDefault="00000000" w:rsidRPr="00000000" w14:paraId="00000025">
      <w:pPr>
        <w:spacing w:after="120" w:before="80" w:lineRule="auto"/>
        <w:rPr/>
      </w:pPr>
      <w:r w:rsidDel="00000000" w:rsidR="00000000" w:rsidRPr="00000000">
        <w:rPr>
          <w:rFonts w:ascii="Arial" w:cs="Arial" w:eastAsia="Arial" w:hAnsi="Arial"/>
          <w:sz w:val="22"/>
          <w:szCs w:val="22"/>
          <w:rtl w:val="0"/>
        </w:rPr>
        <w:t xml:space="preserve">Key observations across the dataset:</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2015 showed a slight decline of -2.78% compared to 2014</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2016 recovered strongly with 29.47% growth year on year</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2017 continued the positive trend with a further 20.36% growth</w:t>
      </w:r>
    </w:p>
    <w:p w:rsidR="00000000" w:rsidDel="00000000" w:rsidP="00000000" w:rsidRDefault="00000000" w:rsidRPr="00000000" w14:paraId="00000029">
      <w:pPr>
        <w:spacing w:after="160" w:before="0" w:lineRule="auto"/>
        <w:rPr/>
      </w:pPr>
      <w:r w:rsidDel="00000000" w:rsidR="00000000" w:rsidRPr="00000000">
        <w:rPr>
          <w:rtl w:val="0"/>
        </w:rPr>
      </w:r>
    </w:p>
    <w:p w:rsidR="00000000" w:rsidDel="00000000" w:rsidP="00000000" w:rsidRDefault="00000000" w:rsidRPr="00000000" w14:paraId="0000002A">
      <w:pPr>
        <w:pStyle w:val="Heading2"/>
        <w:spacing w:after="120" w:before="240" w:lineRule="auto"/>
        <w:rPr/>
      </w:pPr>
      <w:r w:rsidDel="00000000" w:rsidR="00000000" w:rsidRPr="00000000">
        <w:rPr>
          <w:rFonts w:ascii="Arial" w:cs="Arial" w:eastAsia="Arial" w:hAnsi="Arial"/>
          <w:b w:val="1"/>
          <w:bCs w:val="1"/>
          <w:color w:val="a22492"/>
          <w:sz w:val="26"/>
          <w:szCs w:val="26"/>
          <w:rtl w:val="0"/>
        </w:rPr>
        <w:t xml:space="preserve">Top Products by Sales — ABC Classification</w:t>
      </w:r>
      <w:r w:rsidDel="00000000" w:rsidR="00000000" w:rsidRPr="00000000">
        <w:rPr>
          <w:rtl w:val="0"/>
        </w:rPr>
      </w:r>
    </w:p>
    <w:p w:rsidR="00000000" w:rsidDel="00000000" w:rsidP="00000000" w:rsidRDefault="00000000" w:rsidRPr="00000000" w14:paraId="0000002B">
      <w:pPr>
        <w:spacing w:after="120" w:before="80" w:lineRule="auto"/>
        <w:rPr/>
      </w:pPr>
      <w:r w:rsidDel="00000000" w:rsidR="00000000" w:rsidRPr="00000000">
        <w:rPr>
          <w:rFonts w:ascii="Arial" w:cs="Arial" w:eastAsia="Arial" w:hAnsi="Arial"/>
          <w:sz w:val="22"/>
          <w:szCs w:val="22"/>
          <w:rtl w:val="0"/>
        </w:rPr>
        <w:t xml:space="preserve">The product table ranks every product by total sales from highest to lowest. But it goes one step further by applying an ABC classification — a standard business framework for categorising products by their contribution to revenue.</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 Top 20%: These are the star products. A small number of products that generate the majority of revenue. In retail this is sometimes called the Pareto principle — roughly 20% of products drive 80% of results.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 Mid 30%: Solid mid-tier performers. They contribute meaningfully but are not driving outsized results.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 Bottom 50%: The long tail. These products sell but in relatively small volumes. Decisions about whether to continue stocking them or discontinue them should factor in margin and shelf space.</w:t>
      </w:r>
    </w:p>
    <w:p w:rsidR="00000000" w:rsidDel="00000000" w:rsidP="00000000" w:rsidRDefault="00000000" w:rsidRPr="00000000" w14:paraId="0000002F">
      <w:pPr>
        <w:spacing w:after="120" w:before="80" w:lineRule="auto"/>
        <w:rPr/>
      </w:pPr>
      <w:r w:rsidDel="00000000" w:rsidR="00000000" w:rsidRPr="00000000">
        <w:rPr>
          <w:rFonts w:ascii="Arial" w:cs="Arial" w:eastAsia="Arial" w:hAnsi="Arial"/>
          <w:sz w:val="22"/>
          <w:szCs w:val="22"/>
          <w:rtl w:val="0"/>
        </w:rPr>
        <w:t xml:space="preserve">The top ranked product across all years is the Canon imageCLASS 2200 Advanced Copier with $61,600 in total sales — a Technology product, which aligns with Technology being the top category overall.</w:t>
      </w:r>
      <w:r w:rsidDel="00000000" w:rsidR="00000000" w:rsidRPr="00000000">
        <w:rPr>
          <w:rtl w:val="0"/>
        </w:rPr>
      </w:r>
    </w:p>
    <w:p w:rsidR="00000000" w:rsidDel="00000000" w:rsidP="00000000" w:rsidRDefault="00000000" w:rsidRPr="00000000" w14:paraId="00000030">
      <w:pPr>
        <w:spacing w:after="120" w:before="80" w:lineRule="auto"/>
        <w:rPr/>
      </w:pPr>
      <w:r w:rsidDel="00000000" w:rsidR="00000000" w:rsidRPr="00000000">
        <w:rPr>
          <w:rFonts w:ascii="Arial" w:cs="Arial" w:eastAsia="Arial" w:hAnsi="Arial"/>
          <w:sz w:val="22"/>
          <w:szCs w:val="22"/>
          <w:rtl w:val="0"/>
        </w:rPr>
        <w:t xml:space="preserve">This classification is useful for any business because it tells a manager at a glance which products to protect, which to monitor, and which to potentially retire.</w:t>
      </w:r>
      <w:r w:rsidDel="00000000" w:rsidR="00000000" w:rsidRPr="00000000">
        <w:rPr>
          <w:rtl w:val="0"/>
        </w:rPr>
      </w:r>
    </w:p>
    <w:p w:rsidR="00000000" w:rsidDel="00000000" w:rsidP="00000000" w:rsidRDefault="00000000" w:rsidRPr="00000000" w14:paraId="00000031">
      <w:pPr>
        <w:spacing w:after="120" w:before="80" w:lineRule="auto"/>
        <w:rPr/>
      </w:pPr>
      <w:r w:rsidDel="00000000" w:rsidR="00000000" w:rsidRPr="00000000">
        <w:rPr>
          <w:rtl w:val="0"/>
        </w:rPr>
      </w:r>
    </w:p>
    <w:p w:rsidR="00000000" w:rsidDel="00000000" w:rsidP="00000000" w:rsidRDefault="00000000" w:rsidRPr="00000000" w14:paraId="00000032">
      <w:pPr>
        <w:pStyle w:val="Heading2"/>
        <w:spacing w:after="120" w:before="240" w:lineRule="auto"/>
        <w:rPr/>
      </w:pPr>
      <w:r w:rsidDel="00000000" w:rsidR="00000000" w:rsidRPr="00000000">
        <w:rPr>
          <w:rFonts w:ascii="Arial" w:cs="Arial" w:eastAsia="Arial" w:hAnsi="Arial"/>
          <w:b w:val="1"/>
          <w:bCs w:val="1"/>
          <w:color w:val="a22492"/>
          <w:sz w:val="26"/>
          <w:szCs w:val="26"/>
          <w:rtl w:val="0"/>
        </w:rPr>
        <w:t xml:space="preserve">Growth Scenario Modeller</w:t>
      </w:r>
      <w:r w:rsidDel="00000000" w:rsidR="00000000" w:rsidRPr="00000000">
        <w:rPr>
          <w:rtl w:val="0"/>
        </w:rPr>
      </w:r>
    </w:p>
    <w:p w:rsidR="00000000" w:rsidDel="00000000" w:rsidP="00000000" w:rsidRDefault="00000000" w:rsidRPr="00000000" w14:paraId="00000033">
      <w:pPr>
        <w:spacing w:after="120" w:before="80" w:lineRule="auto"/>
        <w:rPr/>
      </w:pPr>
      <w:r w:rsidDel="00000000" w:rsidR="00000000" w:rsidRPr="00000000">
        <w:rPr>
          <w:rFonts w:ascii="Arial" w:cs="Arial" w:eastAsia="Arial" w:hAnsi="Arial"/>
          <w:sz w:val="22"/>
          <w:szCs w:val="22"/>
          <w:rtl w:val="0"/>
        </w:rPr>
        <w:t xml:space="preserve">The bottom right section of the dashboard contains an interactive planning tool. It is not showing historical data — it is showing the future.</w:t>
      </w:r>
      <w:r w:rsidDel="00000000" w:rsidR="00000000" w:rsidRPr="00000000">
        <w:rPr>
          <w:rtl w:val="0"/>
        </w:rPr>
      </w:r>
    </w:p>
    <w:p w:rsidR="00000000" w:rsidDel="00000000" w:rsidP="00000000" w:rsidRDefault="00000000" w:rsidRPr="00000000" w14:paraId="00000034">
      <w:pPr>
        <w:spacing w:after="120" w:before="80" w:lineRule="auto"/>
        <w:rPr/>
      </w:pPr>
      <w:r w:rsidDel="00000000" w:rsidR="00000000" w:rsidRPr="00000000">
        <w:rPr>
          <w:rFonts w:ascii="Arial" w:cs="Arial" w:eastAsia="Arial" w:hAnsi="Arial"/>
          <w:sz w:val="22"/>
          <w:szCs w:val="22"/>
          <w:rtl w:val="0"/>
        </w:rPr>
        <w:t xml:space="preserve">Using the Growth Rate dropdown, anyone can select a growth target — 0%, 10%, 25%, or 50% — and the Projected Sales and Projected Profit figures update instantly to show what revenue and profit would look like if that growth rate were achieved.</w:t>
      </w:r>
      <w:r w:rsidDel="00000000" w:rsidR="00000000" w:rsidRPr="00000000">
        <w:rPr>
          <w:rtl w:val="0"/>
        </w:rPr>
      </w:r>
    </w:p>
    <w:p w:rsidR="00000000" w:rsidDel="00000000" w:rsidP="00000000" w:rsidRDefault="00000000" w:rsidRPr="00000000" w14:paraId="00000035">
      <w:pPr>
        <w:spacing w:after="120" w:before="80" w:lineRule="auto"/>
        <w:rPr/>
      </w:pPr>
      <w:r w:rsidDel="00000000" w:rsidR="00000000" w:rsidRPr="00000000">
        <w:rPr>
          <w:rFonts w:ascii="Arial" w:cs="Arial" w:eastAsia="Arial" w:hAnsi="Arial"/>
          <w:sz w:val="22"/>
          <w:szCs w:val="22"/>
          <w:rtl w:val="0"/>
        </w:rPr>
        <w:t xml:space="preserve">For example, selecting 10% growth against a $2.30M base gives a projected sales figure of $2.53M. Selecting 25% gives $2.88M. This means a sales director or business owner can sit with the dashboard in a meeting, adjust the growth assumption in real time, and immediately see the financial implications — without opening a spreadsheet or waiting for an analyst to recalculate.</w:t>
      </w:r>
      <w:r w:rsidDel="00000000" w:rsidR="00000000" w:rsidRPr="00000000">
        <w:rPr>
          <w:rtl w:val="0"/>
        </w:rPr>
      </w:r>
    </w:p>
    <w:p w:rsidR="00000000" w:rsidDel="00000000" w:rsidP="00000000" w:rsidRDefault="00000000" w:rsidRPr="00000000" w14:paraId="00000036">
      <w:pPr>
        <w:spacing w:after="120" w:before="80" w:lineRule="auto"/>
        <w:rPr/>
      </w:pPr>
      <w:r w:rsidDel="00000000" w:rsidR="00000000" w:rsidRPr="00000000">
        <w:rPr>
          <w:rFonts w:ascii="Arial" w:cs="Arial" w:eastAsia="Arial" w:hAnsi="Arial"/>
          <w:sz w:val="22"/>
          <w:szCs w:val="22"/>
          <w:rtl w:val="0"/>
        </w:rPr>
        <w:t xml:space="preserve">This is what separates a reporting tool from a decision support tool.</w:t>
      </w:r>
      <w:r w:rsidDel="00000000" w:rsidR="00000000" w:rsidRPr="00000000">
        <w:rPr>
          <w:rtl w:val="0"/>
        </w:rPr>
      </w:r>
    </w:p>
    <w:p w:rsidR="00000000" w:rsidDel="00000000" w:rsidP="00000000" w:rsidRDefault="00000000" w:rsidRPr="00000000" w14:paraId="00000037">
      <w:pPr>
        <w:spacing w:after="160" w:before="0" w:lineRule="auto"/>
        <w:rPr/>
      </w:pPr>
      <w:r w:rsidDel="00000000" w:rsidR="00000000" w:rsidRPr="00000000">
        <w:rPr>
          <w:rtl w:val="0"/>
        </w:rPr>
      </w:r>
    </w:p>
    <w:p w:rsidR="00000000" w:rsidDel="00000000" w:rsidP="00000000" w:rsidRDefault="00000000" w:rsidRPr="00000000" w14:paraId="00000038">
      <w:pPr>
        <w:pStyle w:val="Heading1"/>
        <w:spacing w:after="180" w:before="360" w:lineRule="auto"/>
        <w:rPr/>
      </w:pPr>
      <w:r w:rsidDel="00000000" w:rsidR="00000000" w:rsidRPr="00000000">
        <w:rPr>
          <w:rFonts w:ascii="Arial" w:cs="Arial" w:eastAsia="Arial" w:hAnsi="Arial"/>
          <w:b w:val="1"/>
          <w:bCs w:val="1"/>
          <w:color w:val="2d1674"/>
          <w:sz w:val="32"/>
          <w:szCs w:val="32"/>
          <w:rtl w:val="0"/>
        </w:rPr>
        <w:t xml:space="preserve">3. How the Filters Work</w:t>
      </w:r>
      <w:r w:rsidDel="00000000" w:rsidR="00000000" w:rsidRPr="00000000">
        <w:rPr>
          <w:rtl w:val="0"/>
        </w:rPr>
      </w:r>
    </w:p>
    <w:p w:rsidR="00000000" w:rsidDel="00000000" w:rsidP="00000000" w:rsidRDefault="00000000" w:rsidRPr="00000000" w14:paraId="00000039">
      <w:pPr>
        <w:spacing w:after="120" w:before="80" w:lineRule="auto"/>
        <w:rPr/>
      </w:pPr>
      <w:r w:rsidDel="00000000" w:rsidR="00000000" w:rsidRPr="00000000">
        <w:rPr>
          <w:rFonts w:ascii="Arial" w:cs="Arial" w:eastAsia="Arial" w:hAnsi="Arial"/>
          <w:sz w:val="22"/>
          <w:szCs w:val="22"/>
          <w:rtl w:val="0"/>
        </w:rPr>
        <w:t xml:space="preserve">The dashboard has two filter controls at the top right — Category and Year — plus the Growth Rate dropdown in the scenario section. Every visual on the dashboard responds to these filters simultaneously.</w:t>
      </w:r>
      <w:r w:rsidDel="00000000" w:rsidR="00000000" w:rsidRPr="00000000">
        <w:rPr>
          <w:rtl w:val="0"/>
        </w:rPr>
      </w:r>
    </w:p>
    <w:p w:rsidR="00000000" w:rsidDel="00000000" w:rsidP="00000000" w:rsidRDefault="00000000" w:rsidRPr="00000000" w14:paraId="0000003A">
      <w:pPr>
        <w:spacing w:after="120" w:before="80" w:lineRule="auto"/>
        <w:rPr/>
      </w:pPr>
      <w:r w:rsidDel="00000000" w:rsidR="00000000" w:rsidRPr="00000000">
        <w:rPr>
          <w:rFonts w:ascii="Arial" w:cs="Arial" w:eastAsia="Arial" w:hAnsi="Arial"/>
          <w:sz w:val="22"/>
          <w:szCs w:val="22"/>
          <w:rtl w:val="0"/>
        </w:rPr>
        <w:t xml:space="preserve">For example, selecting Office Supplies from the Category filter and 2015 from the Year filter will:</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all four KPI cards to show Office Supplies figures for 2015 only</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Narrow the bar chart to show only Office Supplies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the line chart to show YTD vs 2014 comparison for Office Supplies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Re-rank the product table to show only Office Supplies products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the scenario cards based on the filtered sales total</w:t>
      </w:r>
    </w:p>
    <w:p w:rsidR="00000000" w:rsidDel="00000000" w:rsidP="00000000" w:rsidRDefault="00000000" w:rsidRPr="00000000" w14:paraId="00000040">
      <w:pPr>
        <w:spacing w:after="120" w:before="80" w:lineRule="auto"/>
        <w:rPr/>
      </w:pPr>
      <w:r w:rsidDel="00000000" w:rsidR="00000000" w:rsidRPr="00000000">
        <w:rPr>
          <w:rFonts w:ascii="Arial" w:cs="Arial" w:eastAsia="Arial" w:hAnsi="Arial"/>
          <w:sz w:val="22"/>
          <w:szCs w:val="22"/>
          <w:rtl w:val="0"/>
        </w:rPr>
        <w:t xml:space="preserve">This means one dashboard can answer dozens of different business questions depending on what filters are applied — without any additional reports being built.</w:t>
      </w:r>
      <w:r w:rsidDel="00000000" w:rsidR="00000000" w:rsidRPr="00000000">
        <w:rPr>
          <w:rtl w:val="0"/>
        </w:rPr>
      </w:r>
    </w:p>
    <w:p w:rsidR="00000000" w:rsidDel="00000000" w:rsidP="00000000" w:rsidRDefault="00000000" w:rsidRPr="00000000" w14:paraId="00000041">
      <w:pPr>
        <w:spacing w:after="160" w:before="0" w:lineRule="auto"/>
        <w:rPr/>
      </w:pPr>
      <w:r w:rsidDel="00000000" w:rsidR="00000000" w:rsidRPr="00000000">
        <w:rPr>
          <w:rtl w:val="0"/>
        </w:rPr>
      </w:r>
    </w:p>
    <w:p w:rsidR="00000000" w:rsidDel="00000000" w:rsidP="00000000" w:rsidRDefault="00000000" w:rsidRPr="00000000" w14:paraId="00000042">
      <w:pPr>
        <w:pStyle w:val="Heading1"/>
        <w:spacing w:after="180" w:before="360" w:lineRule="auto"/>
        <w:rPr/>
      </w:pPr>
      <w:r w:rsidDel="00000000" w:rsidR="00000000" w:rsidRPr="00000000">
        <w:rPr>
          <w:rFonts w:ascii="Arial" w:cs="Arial" w:eastAsia="Arial" w:hAnsi="Arial"/>
          <w:b w:val="1"/>
          <w:bCs w:val="1"/>
          <w:color w:val="2d1674"/>
          <w:sz w:val="32"/>
          <w:szCs w:val="32"/>
          <w:rtl w:val="0"/>
        </w:rPr>
        <w:t xml:space="preserve">4. Key Business Insights</w:t>
      </w:r>
      <w:r w:rsidDel="00000000" w:rsidR="00000000" w:rsidRPr="00000000">
        <w:rPr>
          <w:rtl w:val="0"/>
        </w:rPr>
      </w:r>
    </w:p>
    <w:p w:rsidR="00000000" w:rsidDel="00000000" w:rsidP="00000000" w:rsidRDefault="00000000" w:rsidRPr="00000000" w14:paraId="00000043">
      <w:pPr>
        <w:spacing w:after="16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2d1674" w:space="0" w:sz="4" w:val="single"/>
              <w:left w:color="2d1674" w:space="0" w:sz="4" w:val="single"/>
              <w:bottom w:color="2d1674" w:space="0" w:sz="4" w:val="single"/>
              <w:right w:color="2d1674" w:space="0" w:sz="4" w:val="single"/>
            </w:tcBorders>
            <w:shd w:fill="2d1674"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22"/>
                <w:szCs w:val="22"/>
                <w:rtl w:val="0"/>
              </w:rPr>
              <w:t xml:space="preserve">Area</w:t>
            </w:r>
            <w:r w:rsidDel="00000000" w:rsidR="00000000" w:rsidRPr="00000000">
              <w:rPr>
                <w:rtl w:val="0"/>
              </w:rPr>
            </w:r>
          </w:p>
        </w:tc>
        <w:tc>
          <w:tcPr>
            <w:tcBorders>
              <w:top w:color="2d1674" w:space="0" w:sz="4" w:val="single"/>
              <w:left w:color="2d1674" w:space="0" w:sz="4" w:val="single"/>
              <w:bottom w:color="2d1674" w:space="0" w:sz="4" w:val="single"/>
              <w:right w:color="2d1674" w:space="0" w:sz="4" w:val="single"/>
            </w:tcBorders>
            <w:shd w:fill="2d1674"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ffffff"/>
                <w:sz w:val="22"/>
                <w:szCs w:val="22"/>
                <w:rtl w:val="0"/>
              </w:rPr>
              <w:t xml:space="preserve">Insight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0fb"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sz w:val="20"/>
                <w:szCs w:val="20"/>
                <w:rtl w:val="0"/>
              </w:rPr>
              <w:t xml:space="preserve">Overall profitability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0fb"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At 12.47% profit margin the business is profitable but there is room to improve. Industry benchmarks for retail typically sit between 10% and 20% depending on 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sz w:val="20"/>
                <w:szCs w:val="20"/>
                <w:rtl w:val="0"/>
              </w:rPr>
              <w:t xml:space="preserve">Technology leads 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Technology accounts for over a third of all sales and contains most of the top-ranked products. Protecting and growing this category should be a strategic 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0fb"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sz w:val="20"/>
                <w:szCs w:val="20"/>
                <w:rtl w:val="0"/>
              </w:rPr>
              <w:t xml:space="preserve">2015 dip then 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0fb"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The business experienced a slight revenue decline in 2015 before recovering strongly in 2016 and 2017. Understanding what changed operationally or commercially in 2016 would be valuable.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sz w:val="20"/>
                <w:szCs w:val="20"/>
                <w:rtl w:val="0"/>
              </w:rPr>
              <w:t xml:space="preserve">Long product 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With over 1,800 distinct products in the catalogue, a significant proportion will fall into the C classification — low volume, low contribution. A product rationalisation exercise could improve efficiency.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0fb"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sz w:val="20"/>
                <w:szCs w:val="20"/>
                <w:rtl w:val="0"/>
              </w:rPr>
              <w:t xml:space="preserve">Growth headroom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0fb"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Even at a conservative 10% growth target, the business would cross $2.53M in revenue. At 25% it exceeds $2.88M. These are achievable targets for a business already showing year on year growth momentum.</w:t>
            </w:r>
            <w:r w:rsidDel="00000000" w:rsidR="00000000" w:rsidRPr="00000000">
              <w:rPr>
                <w:rtl w:val="0"/>
              </w:rPr>
            </w:r>
          </w:p>
        </w:tc>
      </w:tr>
    </w:tbl>
    <w:p w:rsidR="00000000" w:rsidDel="00000000" w:rsidP="00000000" w:rsidRDefault="00000000" w:rsidRPr="00000000" w14:paraId="00000050">
      <w:pPr>
        <w:spacing w:after="160" w:before="240" w:lineRule="auto"/>
        <w:rPr/>
      </w:pPr>
      <w:r w:rsidDel="00000000" w:rsidR="00000000" w:rsidRPr="00000000">
        <w:rPr>
          <w:rtl w:val="0"/>
        </w:rPr>
      </w:r>
    </w:p>
    <w:p w:rsidR="00000000" w:rsidDel="00000000" w:rsidP="00000000" w:rsidRDefault="00000000" w:rsidRPr="00000000" w14:paraId="00000051">
      <w:pPr>
        <w:pStyle w:val="Heading1"/>
        <w:spacing w:after="180" w:before="360" w:lineRule="auto"/>
        <w:rPr/>
      </w:pPr>
      <w:r w:rsidDel="00000000" w:rsidR="00000000" w:rsidRPr="00000000">
        <w:rPr>
          <w:rFonts w:ascii="Arial" w:cs="Arial" w:eastAsia="Arial" w:hAnsi="Arial"/>
          <w:b w:val="1"/>
          <w:bCs w:val="1"/>
          <w:color w:val="2d1674"/>
          <w:sz w:val="32"/>
          <w:szCs w:val="32"/>
          <w:rtl w:val="0"/>
        </w:rPr>
        <w:t xml:space="preserve">5. About This Dashboard</w:t>
      </w:r>
      <w:r w:rsidDel="00000000" w:rsidR="00000000" w:rsidRPr="00000000">
        <w:rPr>
          <w:rtl w:val="0"/>
        </w:rPr>
      </w:r>
    </w:p>
    <w:p w:rsidR="00000000" w:rsidDel="00000000" w:rsidP="00000000" w:rsidRDefault="00000000" w:rsidRPr="00000000" w14:paraId="00000052">
      <w:pPr>
        <w:spacing w:after="120" w:before="80" w:lineRule="auto"/>
        <w:rPr/>
      </w:pPr>
      <w:r w:rsidDel="00000000" w:rsidR="00000000" w:rsidRPr="00000000">
        <w:rPr>
          <w:rFonts w:ascii="Arial" w:cs="Arial" w:eastAsia="Arial" w:hAnsi="Arial"/>
          <w:sz w:val="22"/>
          <w:szCs w:val="22"/>
          <w:rtl w:val="0"/>
        </w:rPr>
        <w:t xml:space="preserve">This dashboard was built entirely in Microsoft Power BI Desktop as part of a structured learning programme in DAX (Data Analysis Expressions) and business intelligence development. It demonstrates a complete end-to-end workflow:</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Raw data ingestion from a CSV source file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cleaning and transformation in Power Query</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 schema data modelling with four related tables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custom DAX measures spanning beginner to advanced techniques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Interactive dashboard design with cross-visual filtering</w:t>
      </w:r>
    </w:p>
    <w:p w:rsidR="00000000" w:rsidDel="00000000" w:rsidP="00000000" w:rsidRDefault="00000000" w:rsidRPr="00000000" w14:paraId="00000058">
      <w:pPr>
        <w:spacing w:after="120" w:before="80" w:lineRule="auto"/>
        <w:rPr/>
      </w:pPr>
      <w:r w:rsidDel="00000000" w:rsidR="00000000" w:rsidRPr="00000000">
        <w:rPr>
          <w:rFonts w:ascii="Arial" w:cs="Arial" w:eastAsia="Arial" w:hAnsi="Arial"/>
          <w:sz w:val="22"/>
          <w:szCs w:val="22"/>
          <w:rtl w:val="0"/>
        </w:rPr>
        <w:t xml:space="preserve">The dataset used is the publicly available Superstore retail dataset, widely used in the BI and data analytics community for training and portfolio development.</w:t>
      </w:r>
      <w:r w:rsidDel="00000000" w:rsidR="00000000" w:rsidRPr="00000000">
        <w:rPr>
          <w:rtl w:val="0"/>
        </w:rPr>
      </w:r>
    </w:p>
    <w:p w:rsidR="00000000" w:rsidDel="00000000" w:rsidP="00000000" w:rsidRDefault="00000000" w:rsidRPr="00000000" w14:paraId="00000059">
      <w:pPr>
        <w:spacing w:after="120" w:before="80" w:lineRule="auto"/>
        <w:rPr/>
      </w:pPr>
      <w:r w:rsidDel="00000000" w:rsidR="00000000" w:rsidRPr="00000000">
        <w:rPr>
          <w:rFonts w:ascii="Arial" w:cs="Arial" w:eastAsia="Arial" w:hAnsi="Arial"/>
          <w:sz w:val="22"/>
          <w:szCs w:val="22"/>
          <w:rtl w:val="0"/>
        </w:rPr>
        <w:t xml:space="preserve">The full Power BI file (.pbix) is available to download from the project GitHub repository, where the complete data model and all DAX measures can be explored directly in Power BI Desktop.</w:t>
      </w:r>
      <w:r w:rsidDel="00000000" w:rsidR="00000000" w:rsidRPr="00000000">
        <w:rPr>
          <w:rtl w:val="0"/>
        </w:rPr>
      </w:r>
    </w:p>
    <w:p w:rsidR="00000000" w:rsidDel="00000000" w:rsidP="00000000" w:rsidRDefault="00000000" w:rsidRPr="00000000" w14:paraId="0000005A">
      <w:pPr>
        <w:spacing w:after="160" w:before="0" w:lineRule="auto"/>
        <w:rPr/>
      </w:pPr>
      <w:r w:rsidDel="00000000" w:rsidR="00000000" w:rsidRPr="00000000">
        <w:rPr>
          <w:rtl w:val="0"/>
        </w:rPr>
      </w:r>
    </w:p>
    <w:p w:rsidR="00000000" w:rsidDel="00000000" w:rsidP="00000000" w:rsidRDefault="00000000" w:rsidRPr="00000000" w14:paraId="0000005B">
      <w:pPr>
        <w:pBdr>
          <w:bottom w:color="a22492" w:space="1" w:sz="6" w:val="single"/>
        </w:pBdr>
        <w:spacing w:after="120" w:before="240" w:lineRule="auto"/>
        <w:rPr/>
      </w:pPr>
      <w:r w:rsidDel="00000000" w:rsidR="00000000" w:rsidRPr="00000000">
        <w:rPr>
          <w:rtl w:val="0"/>
        </w:rPr>
      </w:r>
    </w:p>
    <w:p w:rsidR="00000000" w:rsidDel="00000000" w:rsidP="00000000" w:rsidRDefault="00000000" w:rsidRPr="00000000" w14:paraId="0000005C">
      <w:pPr>
        <w:jc w:val="left"/>
        <w:rPr/>
      </w:pPr>
      <w:r w:rsidDel="00000000" w:rsidR="00000000" w:rsidRPr="00000000">
        <w:rPr>
          <w:rtl w:val="0"/>
        </w:rPr>
      </w:r>
    </w:p>
    <w:sectPr>
      <w:headerReference r:id="rId6" w:type="default"/>
      <w:pgSz w:h="15840" w:w="12240" w:orient="portrait"/>
      <w:pgMar w:bottom="1440" w:top="72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2d167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a22492"/>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