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4FBD" w14:textId="77777777" w:rsidR="005E5645" w:rsidRDefault="005E5645" w:rsidP="006C54E5">
      <w:pPr>
        <w:pStyle w:val="Title"/>
      </w:pPr>
    </w:p>
    <w:p w14:paraId="0946E0DD" w14:textId="77777777" w:rsidR="005E5645" w:rsidRDefault="005E5645" w:rsidP="006C54E5">
      <w:pPr>
        <w:pStyle w:val="Title"/>
      </w:pPr>
    </w:p>
    <w:p w14:paraId="052E0841" w14:textId="77777777" w:rsidR="005E5645" w:rsidRDefault="005E5645" w:rsidP="006C54E5">
      <w:pPr>
        <w:pStyle w:val="Title"/>
      </w:pPr>
    </w:p>
    <w:p w14:paraId="4DD58456" w14:textId="77777777" w:rsidR="005E5645" w:rsidRDefault="005E5645" w:rsidP="00A30AEA">
      <w:pPr>
        <w:pStyle w:val="Title"/>
        <w:jc w:val="center"/>
      </w:pPr>
    </w:p>
    <w:p w14:paraId="3F0DEF71" w14:textId="51FF6514" w:rsidR="005E5645" w:rsidRPr="005E5645" w:rsidRDefault="005E5645" w:rsidP="00A30AEA">
      <w:pPr>
        <w:pStyle w:val="Title"/>
        <w:jc w:val="center"/>
      </w:pPr>
      <w:r w:rsidRPr="005E5645">
        <w:t>Imperial College London</w:t>
      </w:r>
    </w:p>
    <w:p w14:paraId="3490BFD7" w14:textId="3603815F" w:rsidR="005E5645" w:rsidRPr="005E5645" w:rsidRDefault="005E5645" w:rsidP="00A30AEA">
      <w:pPr>
        <w:pStyle w:val="Title"/>
        <w:jc w:val="center"/>
      </w:pPr>
      <w:r w:rsidRPr="005E5645">
        <w:t>Department of Mechanical Engineering</w:t>
      </w:r>
    </w:p>
    <w:p w14:paraId="2AF3E80C" w14:textId="77777777" w:rsidR="005E5645" w:rsidRPr="005E5645" w:rsidRDefault="005E5645" w:rsidP="00A30AEA">
      <w:pPr>
        <w:pStyle w:val="Title"/>
        <w:jc w:val="center"/>
      </w:pPr>
      <w:r w:rsidRPr="005E5645">
        <w:t>MECH60017 Statistics A Coursework</w:t>
      </w:r>
    </w:p>
    <w:p w14:paraId="114DE84B" w14:textId="77777777" w:rsidR="005E5645" w:rsidRDefault="005E5645" w:rsidP="00A30AEA">
      <w:pPr>
        <w:jc w:val="center"/>
      </w:pPr>
    </w:p>
    <w:p w14:paraId="02B77CA1" w14:textId="109A6FD4" w:rsidR="005E5645" w:rsidRPr="00A30AEA" w:rsidRDefault="005E5645" w:rsidP="00A30AEA">
      <w:pPr>
        <w:pStyle w:val="IntenseQuote"/>
        <w:rPr>
          <w:sz w:val="24"/>
          <w:szCs w:val="24"/>
        </w:rPr>
      </w:pPr>
      <w:r w:rsidRPr="00A30AEA">
        <w:rPr>
          <w:sz w:val="24"/>
          <w:szCs w:val="24"/>
        </w:rPr>
        <w:t xml:space="preserve">Statistical Modelling, and Analysis on Data Collected Regarding Air-Pollution </w:t>
      </w:r>
      <w:r w:rsidR="009A1EAB" w:rsidRPr="00A30AEA">
        <w:rPr>
          <w:sz w:val="24"/>
          <w:szCs w:val="24"/>
        </w:rPr>
        <w:t>in</w:t>
      </w:r>
      <w:r w:rsidRPr="00A30AEA">
        <w:rPr>
          <w:sz w:val="24"/>
          <w:szCs w:val="24"/>
        </w:rPr>
        <w:t xml:space="preserve"> a Town </w:t>
      </w:r>
      <w:r w:rsidR="000703C2" w:rsidRPr="00A30AEA">
        <w:rPr>
          <w:sz w:val="24"/>
          <w:szCs w:val="24"/>
        </w:rPr>
        <w:t>in</w:t>
      </w:r>
      <w:r w:rsidRPr="00A30AEA">
        <w:rPr>
          <w:sz w:val="24"/>
          <w:szCs w:val="24"/>
        </w:rPr>
        <w:t xml:space="preserve"> Europe</w:t>
      </w:r>
    </w:p>
    <w:p w14:paraId="0C91B0C9" w14:textId="660E98E6" w:rsidR="005E5645" w:rsidRDefault="005E5645" w:rsidP="00A30AEA">
      <w:pPr>
        <w:jc w:val="center"/>
      </w:pPr>
      <w:r>
        <w:t>Oluwaseyi Ayodeji Adeniyi</w:t>
      </w:r>
    </w:p>
    <w:p w14:paraId="0D8659E9" w14:textId="4E1D4C5E" w:rsidR="005E5645" w:rsidRDefault="005E5645" w:rsidP="00A30AEA">
      <w:pPr>
        <w:jc w:val="center"/>
      </w:pPr>
      <w:r>
        <w:t>Word Count:</w:t>
      </w:r>
      <w:fldSimple w:instr=" NUMWORDS   \* MERGEFORMAT ">
        <w:r w:rsidR="00B57EAF">
          <w:rPr>
            <w:noProof/>
          </w:rPr>
          <w:t>1616</w:t>
        </w:r>
      </w:fldSimple>
    </w:p>
    <w:p w14:paraId="449B6E04" w14:textId="17E6ED29" w:rsidR="005E5645" w:rsidRDefault="005E5645" w:rsidP="00A30AEA">
      <w:pPr>
        <w:jc w:val="center"/>
      </w:pPr>
      <w:r>
        <w:t>Date: 07/03/2024</w:t>
      </w:r>
    </w:p>
    <w:p w14:paraId="5443790A" w14:textId="387EB185" w:rsidR="005E5645" w:rsidRDefault="005E5645" w:rsidP="00A30AEA">
      <w:pPr>
        <w:jc w:val="center"/>
      </w:pPr>
      <w:r>
        <w:t>CID: 01858040</w:t>
      </w:r>
    </w:p>
    <w:p w14:paraId="6F6D05DE" w14:textId="77777777" w:rsidR="005E5645" w:rsidRDefault="005E5645" w:rsidP="00A30AEA">
      <w:pPr>
        <w:jc w:val="center"/>
      </w:pPr>
      <w:r>
        <w:br w:type="page"/>
      </w:r>
    </w:p>
    <w:p w14:paraId="7881F3EE" w14:textId="07EAEA0A" w:rsidR="00050C54" w:rsidRDefault="00050C54" w:rsidP="00050C54">
      <w:pPr>
        <w:pStyle w:val="Heading1"/>
      </w:pPr>
      <w:r>
        <w:lastRenderedPageBreak/>
        <w:t>Table of Contents</w:t>
      </w:r>
    </w:p>
    <w:p w14:paraId="71CAFF4C" w14:textId="6C897DC5" w:rsidR="00050C54" w:rsidRDefault="00050C54">
      <w:pPr>
        <w:pStyle w:val="TOC1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0787847" w:history="1">
        <w:r w:rsidRPr="00270A36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36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B100AC" w14:textId="315B71FA" w:rsidR="00050C54" w:rsidRDefault="00000000">
      <w:pPr>
        <w:pStyle w:val="TOC1"/>
        <w:tabs>
          <w:tab w:val="right" w:leader="dot" w:pos="9016"/>
        </w:tabs>
        <w:rPr>
          <w:noProof/>
        </w:rPr>
      </w:pPr>
      <w:hyperlink w:anchor="_Toc160787848" w:history="1">
        <w:r w:rsidR="00050C54" w:rsidRPr="00270A36">
          <w:rPr>
            <w:rStyle w:val="Hyperlink"/>
            <w:noProof/>
          </w:rPr>
          <w:t>Exploratory Data Analysis</w:t>
        </w:r>
        <w:r w:rsidR="00050C54">
          <w:rPr>
            <w:noProof/>
            <w:webHidden/>
          </w:rPr>
          <w:tab/>
        </w:r>
        <w:r w:rsidR="00050C54">
          <w:rPr>
            <w:noProof/>
            <w:webHidden/>
          </w:rPr>
          <w:fldChar w:fldCharType="begin"/>
        </w:r>
        <w:r w:rsidR="00050C54">
          <w:rPr>
            <w:noProof/>
            <w:webHidden/>
          </w:rPr>
          <w:instrText xml:space="preserve"> PAGEREF _Toc160787848 \h </w:instrText>
        </w:r>
        <w:r w:rsidR="00050C54">
          <w:rPr>
            <w:noProof/>
            <w:webHidden/>
          </w:rPr>
        </w:r>
        <w:r w:rsidR="00050C54">
          <w:rPr>
            <w:noProof/>
            <w:webHidden/>
          </w:rPr>
          <w:fldChar w:fldCharType="separate"/>
        </w:r>
        <w:r w:rsidR="00F336CB">
          <w:rPr>
            <w:noProof/>
            <w:webHidden/>
          </w:rPr>
          <w:t>3</w:t>
        </w:r>
        <w:r w:rsidR="00050C54">
          <w:rPr>
            <w:noProof/>
            <w:webHidden/>
          </w:rPr>
          <w:fldChar w:fldCharType="end"/>
        </w:r>
      </w:hyperlink>
    </w:p>
    <w:p w14:paraId="087375EB" w14:textId="071E5E38" w:rsidR="00050C54" w:rsidRDefault="00000000">
      <w:pPr>
        <w:pStyle w:val="TOC1"/>
        <w:tabs>
          <w:tab w:val="right" w:leader="dot" w:pos="9016"/>
        </w:tabs>
        <w:rPr>
          <w:noProof/>
        </w:rPr>
      </w:pPr>
      <w:hyperlink w:anchor="_Toc160787849" w:history="1">
        <w:r w:rsidR="00050C54" w:rsidRPr="00270A36">
          <w:rPr>
            <w:rStyle w:val="Hyperlink"/>
            <w:noProof/>
            <w:lang w:val="it-IT"/>
          </w:rPr>
          <w:t>Modelling</w:t>
        </w:r>
        <w:r w:rsidR="00050C54">
          <w:rPr>
            <w:noProof/>
            <w:webHidden/>
          </w:rPr>
          <w:tab/>
        </w:r>
        <w:r w:rsidR="00050C54">
          <w:rPr>
            <w:noProof/>
            <w:webHidden/>
          </w:rPr>
          <w:fldChar w:fldCharType="begin"/>
        </w:r>
        <w:r w:rsidR="00050C54">
          <w:rPr>
            <w:noProof/>
            <w:webHidden/>
          </w:rPr>
          <w:instrText xml:space="preserve"> PAGEREF _Toc160787849 \h </w:instrText>
        </w:r>
        <w:r w:rsidR="00050C54">
          <w:rPr>
            <w:noProof/>
            <w:webHidden/>
          </w:rPr>
        </w:r>
        <w:r w:rsidR="00050C54">
          <w:rPr>
            <w:noProof/>
            <w:webHidden/>
          </w:rPr>
          <w:fldChar w:fldCharType="separate"/>
        </w:r>
        <w:r w:rsidR="00F336CB">
          <w:rPr>
            <w:noProof/>
            <w:webHidden/>
          </w:rPr>
          <w:t>4</w:t>
        </w:r>
        <w:r w:rsidR="00050C54">
          <w:rPr>
            <w:noProof/>
            <w:webHidden/>
          </w:rPr>
          <w:fldChar w:fldCharType="end"/>
        </w:r>
      </w:hyperlink>
    </w:p>
    <w:p w14:paraId="507F6B06" w14:textId="37D3AF15" w:rsidR="00050C54" w:rsidRDefault="00000000">
      <w:pPr>
        <w:pStyle w:val="TOC1"/>
        <w:tabs>
          <w:tab w:val="right" w:leader="dot" w:pos="9016"/>
        </w:tabs>
        <w:rPr>
          <w:noProof/>
        </w:rPr>
      </w:pPr>
      <w:hyperlink w:anchor="_Toc160787850" w:history="1">
        <w:r w:rsidR="00050C54" w:rsidRPr="00270A36">
          <w:rPr>
            <w:rStyle w:val="Hyperlink"/>
            <w:noProof/>
          </w:rPr>
          <w:t>Prediction</w:t>
        </w:r>
        <w:r w:rsidR="00050C54">
          <w:rPr>
            <w:noProof/>
            <w:webHidden/>
          </w:rPr>
          <w:tab/>
        </w:r>
        <w:r w:rsidR="00050C54">
          <w:rPr>
            <w:noProof/>
            <w:webHidden/>
          </w:rPr>
          <w:fldChar w:fldCharType="begin"/>
        </w:r>
        <w:r w:rsidR="00050C54">
          <w:rPr>
            <w:noProof/>
            <w:webHidden/>
          </w:rPr>
          <w:instrText xml:space="preserve"> PAGEREF _Toc160787850 \h </w:instrText>
        </w:r>
        <w:r w:rsidR="00050C54">
          <w:rPr>
            <w:noProof/>
            <w:webHidden/>
          </w:rPr>
        </w:r>
        <w:r w:rsidR="00050C54">
          <w:rPr>
            <w:noProof/>
            <w:webHidden/>
          </w:rPr>
          <w:fldChar w:fldCharType="separate"/>
        </w:r>
        <w:r w:rsidR="00F336CB">
          <w:rPr>
            <w:noProof/>
            <w:webHidden/>
          </w:rPr>
          <w:t>5</w:t>
        </w:r>
        <w:r w:rsidR="00050C54">
          <w:rPr>
            <w:noProof/>
            <w:webHidden/>
          </w:rPr>
          <w:fldChar w:fldCharType="end"/>
        </w:r>
      </w:hyperlink>
    </w:p>
    <w:p w14:paraId="433996ED" w14:textId="7CD6E6C8" w:rsidR="00050C54" w:rsidRDefault="00000000">
      <w:pPr>
        <w:pStyle w:val="TOC1"/>
        <w:tabs>
          <w:tab w:val="right" w:leader="dot" w:pos="9016"/>
        </w:tabs>
        <w:rPr>
          <w:noProof/>
        </w:rPr>
      </w:pPr>
      <w:hyperlink w:anchor="_Toc160787851" w:history="1">
        <w:r w:rsidR="00050C54" w:rsidRPr="00270A36">
          <w:rPr>
            <w:rStyle w:val="Hyperlink"/>
            <w:noProof/>
          </w:rPr>
          <w:t>Including Time as a Feature</w:t>
        </w:r>
        <w:r w:rsidR="00050C54">
          <w:rPr>
            <w:noProof/>
            <w:webHidden/>
          </w:rPr>
          <w:tab/>
        </w:r>
        <w:r w:rsidR="00050C54">
          <w:rPr>
            <w:noProof/>
            <w:webHidden/>
          </w:rPr>
          <w:fldChar w:fldCharType="begin"/>
        </w:r>
        <w:r w:rsidR="00050C54">
          <w:rPr>
            <w:noProof/>
            <w:webHidden/>
          </w:rPr>
          <w:instrText xml:space="preserve"> PAGEREF _Toc160787851 \h </w:instrText>
        </w:r>
        <w:r w:rsidR="00050C54">
          <w:rPr>
            <w:noProof/>
            <w:webHidden/>
          </w:rPr>
        </w:r>
        <w:r w:rsidR="00050C54">
          <w:rPr>
            <w:noProof/>
            <w:webHidden/>
          </w:rPr>
          <w:fldChar w:fldCharType="separate"/>
        </w:r>
        <w:r w:rsidR="00F336CB">
          <w:rPr>
            <w:noProof/>
            <w:webHidden/>
          </w:rPr>
          <w:t>6</w:t>
        </w:r>
        <w:r w:rsidR="00050C54">
          <w:rPr>
            <w:noProof/>
            <w:webHidden/>
          </w:rPr>
          <w:fldChar w:fldCharType="end"/>
        </w:r>
      </w:hyperlink>
    </w:p>
    <w:p w14:paraId="70BA2467" w14:textId="135FE275" w:rsidR="005E5645" w:rsidRDefault="00050C54" w:rsidP="006C54E5">
      <w:r>
        <w:fldChar w:fldCharType="end"/>
      </w:r>
      <w:r w:rsidR="005E5645">
        <w:br w:type="page"/>
      </w:r>
    </w:p>
    <w:p w14:paraId="26834D95" w14:textId="2EED24B6" w:rsidR="007D43B8" w:rsidRPr="006C54E5" w:rsidRDefault="007D43B8" w:rsidP="006C54E5">
      <w:pPr>
        <w:pStyle w:val="Heading1"/>
      </w:pPr>
      <w:bookmarkStart w:id="0" w:name="_Toc160787847"/>
      <w:r w:rsidRPr="006C54E5">
        <w:lastRenderedPageBreak/>
        <w:t>Introduction</w:t>
      </w:r>
      <w:bookmarkEnd w:id="0"/>
    </w:p>
    <w:p w14:paraId="2B3CA70F" w14:textId="6A12CFF6" w:rsidR="004846EF" w:rsidRPr="006C54E5" w:rsidRDefault="000C2532" w:rsidP="006C54E5">
      <w:r w:rsidRPr="006C54E5">
        <w:t>Daily d</w:t>
      </w:r>
      <w:r w:rsidR="007D43B8" w:rsidRPr="006C54E5">
        <w:t xml:space="preserve">ata </w:t>
      </w:r>
      <w:r w:rsidRPr="006C54E5">
        <w:t>c</w:t>
      </w:r>
      <w:r w:rsidR="007D43B8" w:rsidRPr="006C54E5">
        <w:t>ollected</w:t>
      </w:r>
      <w:r w:rsidRPr="006C54E5">
        <w:t xml:space="preserve"> over 150 days</w:t>
      </w:r>
      <w:r w:rsidR="007D43B8" w:rsidRPr="006C54E5">
        <w:t xml:space="preserve"> by a team studying outdoor air-pollution, and consequently the air quality in a town in Europe </w:t>
      </w:r>
      <w:r w:rsidRPr="006C54E5">
        <w:t>is to be used to make inferences</w:t>
      </w:r>
      <w:r w:rsidR="00F770F9" w:rsidRPr="006C54E5">
        <w:t xml:space="preserve"> on the variability of Carbon Monoxide (CO) concentration, with respect to </w:t>
      </w:r>
      <w:r w:rsidR="00C045BD" w:rsidRPr="006C54E5">
        <w:t>Temperature (T) , and Relative Humidity (%) of the surrounding environment.</w:t>
      </w:r>
      <w:r w:rsidR="00036D8C" w:rsidRPr="006C54E5">
        <w:t xml:space="preserve"> The aim of this study is to model the CO concentration as a function of the more easily obtained measurements of T, and RH</w:t>
      </w:r>
      <w:r w:rsidR="00072179" w:rsidRPr="006C54E5">
        <w:t>. Additionally, the inclusion of a time index as a covariate is to be investigated, and remarks concerning the</w:t>
      </w:r>
      <w:r w:rsidR="00757731" w:rsidRPr="006C54E5">
        <w:t xml:space="preserve"> quality of data collected, as well as critiques of data analysis methods used will follow.</w:t>
      </w:r>
    </w:p>
    <w:p w14:paraId="416C8190" w14:textId="6A12CFF6" w:rsidR="005E5645" w:rsidRPr="006C54E5" w:rsidRDefault="005E5645" w:rsidP="006C54E5">
      <w:pPr>
        <w:pStyle w:val="Heading1"/>
      </w:pPr>
      <w:bookmarkStart w:id="1" w:name="_Toc160787848"/>
      <w:r w:rsidRPr="006C54E5">
        <w:t>Exploratory Data Analysis</w:t>
      </w:r>
      <w:bookmarkEnd w:id="1"/>
    </w:p>
    <w:p w14:paraId="0524FCF5" w14:textId="174D8AA4" w:rsidR="005E5645" w:rsidRDefault="00217C16" w:rsidP="006C54E5">
      <w:pPr>
        <w:jc w:val="center"/>
      </w:pPr>
      <w:r>
        <w:rPr>
          <w:noProof/>
        </w:rPr>
        <w:drawing>
          <wp:inline distT="0" distB="0" distL="0" distR="0" wp14:anchorId="4B9FB928" wp14:editId="14CC7618">
            <wp:extent cx="5693410" cy="2170430"/>
            <wp:effectExtent l="0" t="0" r="2540" b="1270"/>
            <wp:docPr id="1201627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C06B" w14:textId="0E20D78E" w:rsidR="005E5645" w:rsidRDefault="005E5645" w:rsidP="006C54E5">
      <w:pPr>
        <w:pStyle w:val="Caption"/>
        <w:jc w:val="center"/>
      </w:pPr>
      <w:r>
        <w:t xml:space="preserve">Figure </w:t>
      </w:r>
      <w:r w:rsidR="002F1455">
        <w:t>1</w:t>
      </w:r>
      <w:r>
        <w:t xml:space="preserve">: Histograms </w:t>
      </w:r>
      <w:r w:rsidRPr="002F1455">
        <w:rPr>
          <w:i w:val="0"/>
          <w:iCs w:val="0"/>
        </w:rPr>
        <w:t>showing</w:t>
      </w:r>
      <w:r w:rsidR="002F1455">
        <w:rPr>
          <w:i w:val="0"/>
          <w:iCs w:val="0"/>
        </w:rPr>
        <w:t xml:space="preserve"> distributions of (</w:t>
      </w:r>
      <w:r w:rsidR="006144E9">
        <w:rPr>
          <w:i w:val="0"/>
          <w:iCs w:val="0"/>
        </w:rPr>
        <w:t>I</w:t>
      </w:r>
      <w:r w:rsidR="002F1455">
        <w:rPr>
          <w:i w:val="0"/>
          <w:iCs w:val="0"/>
        </w:rPr>
        <w:t>)</w:t>
      </w:r>
      <w:r>
        <w:t xml:space="preserve"> </w:t>
      </w:r>
      <w:r w:rsidR="002F1455">
        <w:t xml:space="preserve">CO conc., (ii) </w:t>
      </w:r>
      <w:r w:rsidR="002F1455" w:rsidRPr="004B42D2">
        <w:rPr>
          <w:i w:val="0"/>
          <w:iCs w:val="0"/>
        </w:rPr>
        <w:t>Temperature</w:t>
      </w:r>
      <w:r w:rsidR="00E83141">
        <w:t xml:space="preserve"> °C </w:t>
      </w:r>
      <w:r w:rsidR="002F1455">
        <w:t>, and (iii) RH%</w:t>
      </w:r>
      <w:r w:rsidR="006C54E5">
        <w:t xml:space="preserve"> (L – R)</w:t>
      </w:r>
    </w:p>
    <w:p w14:paraId="34E5C8A9" w14:textId="1DCF4800" w:rsidR="004C7DAD" w:rsidRPr="006C54E5" w:rsidRDefault="00757731" w:rsidP="006C54E5">
      <w:r w:rsidRPr="006C54E5">
        <w:t xml:space="preserve">From the samples collected, </w:t>
      </w:r>
      <w:r w:rsidR="004D54CB" w:rsidRPr="006C54E5">
        <w:t xml:space="preserve">some preliminary analysis was undertaken on the </w:t>
      </w:r>
      <w:r w:rsidR="006F5CB2" w:rsidRPr="006C54E5">
        <w:t xml:space="preserve">distributions shown </w:t>
      </w:r>
      <w:r w:rsidR="00CF7B19" w:rsidRPr="006C54E5">
        <w:t xml:space="preserve">by the </w:t>
      </w:r>
      <w:r w:rsidR="00F219BC" w:rsidRPr="006C54E5">
        <w:t>three</w:t>
      </w:r>
      <w:r w:rsidR="00CF7B19" w:rsidRPr="006C54E5">
        <w:t xml:space="preserve"> quantities of interest; see Fig. </w:t>
      </w:r>
      <w:r w:rsidR="00E83141">
        <w:t xml:space="preserve">1 </w:t>
      </w:r>
      <w:r w:rsidR="00CF7B19" w:rsidRPr="006C54E5">
        <w:t>above.</w:t>
      </w:r>
      <w:r w:rsidR="00F5614B" w:rsidRPr="006C54E5">
        <w:t xml:space="preserve"> The raw data was firstly collated into a </w:t>
      </w:r>
      <w:r w:rsidR="009A1EAB" w:rsidRPr="006C54E5">
        <w:t>set of</w:t>
      </w:r>
      <w:r w:rsidR="00F5614B" w:rsidRPr="006C54E5">
        <w:t xml:space="preserve"> histograms</w:t>
      </w:r>
      <w:r w:rsidR="004C7DAD" w:rsidRPr="006C54E5">
        <w:t>, bin size 25,</w:t>
      </w:r>
      <w:r w:rsidR="00F5614B" w:rsidRPr="006C54E5">
        <w:t xml:space="preserve"> with kernel density </w:t>
      </w:r>
      <w:r w:rsidR="005439E9" w:rsidRPr="006C54E5">
        <w:t xml:space="preserve">lines shown to aid distribution inspection. This data is matched against expected </w:t>
      </w:r>
      <w:r w:rsidR="00973654" w:rsidRPr="006C54E5">
        <w:t>values</w:t>
      </w:r>
      <w:r w:rsidR="003E0BB3" w:rsidRPr="006C54E5">
        <w:rPr>
          <w:vertAlign w:val="superscript"/>
        </w:rPr>
        <w:t>A</w:t>
      </w:r>
      <w:r w:rsidR="00973654" w:rsidRPr="006C54E5">
        <w:t xml:space="preserve"> for the quantities of interest</w:t>
      </w:r>
      <w:r w:rsidR="00510477" w:rsidRPr="006C54E5">
        <w:t xml:space="preserve"> depicted </w:t>
      </w:r>
      <w:r w:rsidR="00A01415" w:rsidRPr="006C54E5">
        <w:t>using</w:t>
      </w:r>
      <w:r w:rsidR="00510477" w:rsidRPr="006C54E5">
        <w:t xml:space="preserve"> the</w:t>
      </w:r>
      <w:r w:rsidR="00A01415" w:rsidRPr="006C54E5">
        <w:t xml:space="preserve"> black</w:t>
      </w:r>
      <w:r w:rsidR="00510477" w:rsidRPr="006C54E5">
        <w:t xml:space="preserve"> dashed line</w:t>
      </w:r>
      <w:r w:rsidR="00973654" w:rsidRPr="006C54E5">
        <w:t>; see Appendi</w:t>
      </w:r>
      <w:r w:rsidR="004C7DAD" w:rsidRPr="006C54E5">
        <w:t>x A</w:t>
      </w:r>
      <w:r w:rsidR="00973654" w:rsidRPr="006C54E5">
        <w:t>.</w:t>
      </w:r>
      <w:r w:rsidR="00CF7B19" w:rsidRPr="006C54E5">
        <w:t xml:space="preserve"> </w:t>
      </w:r>
    </w:p>
    <w:p w14:paraId="00F64381" w14:textId="3ED26CFE" w:rsidR="00757731" w:rsidRDefault="009A1EAB" w:rsidP="006C54E5">
      <w:r w:rsidRPr="006C54E5">
        <w:t>The leftmost plot</w:t>
      </w:r>
      <w:r w:rsidR="00CF7B19" w:rsidRPr="006C54E5">
        <w:t xml:space="preserve"> shows </w:t>
      </w:r>
      <w:r w:rsidR="008D5945" w:rsidRPr="006C54E5">
        <w:t>C</w:t>
      </w:r>
      <w:r w:rsidR="00CF7B19" w:rsidRPr="006C54E5">
        <w:t xml:space="preserve">arbon </w:t>
      </w:r>
      <w:r w:rsidR="008D5945" w:rsidRPr="006C54E5">
        <w:t>M</w:t>
      </w:r>
      <w:r w:rsidR="00CF7B19" w:rsidRPr="006C54E5">
        <w:t xml:space="preserve">onoxide </w:t>
      </w:r>
      <w:r w:rsidR="008D5945" w:rsidRPr="006C54E5">
        <w:t xml:space="preserve">(CO) </w:t>
      </w:r>
      <w:r w:rsidR="00CF7B19" w:rsidRPr="006C54E5">
        <w:t>concentration in mg/mm</w:t>
      </w:r>
      <w:r w:rsidR="00CF7B19" w:rsidRPr="006C54E5">
        <w:rPr>
          <w:vertAlign w:val="superscript"/>
        </w:rPr>
        <w:t>3</w:t>
      </w:r>
      <w:r w:rsidR="00CF7B19" w:rsidRPr="006C54E5">
        <w:t xml:space="preserve"> over the course of the study</w:t>
      </w:r>
      <w:r w:rsidR="00D2560F" w:rsidRPr="006C54E5">
        <w:t xml:space="preserve">. It is slightly </w:t>
      </w:r>
      <w:r w:rsidR="00655E62" w:rsidRPr="006C54E5">
        <w:t>negatively</w:t>
      </w:r>
      <w:r w:rsidR="00CD1569" w:rsidRPr="006C54E5">
        <w:t xml:space="preserve"> skewed and asymmetrical</w:t>
      </w:r>
      <w:r w:rsidR="00373002">
        <w:t xml:space="preserve"> with a high variance of frequencies</w:t>
      </w:r>
      <w:r w:rsidR="008D5945" w:rsidRPr="006C54E5">
        <w:t xml:space="preserve">. As for the plot in the centre, showing variations in Temperature (°C), </w:t>
      </w:r>
      <w:r w:rsidR="000447C3" w:rsidRPr="006C54E5">
        <w:t xml:space="preserve">which is similarly </w:t>
      </w:r>
      <w:r w:rsidR="00655E62" w:rsidRPr="006C54E5">
        <w:t>negative</w:t>
      </w:r>
      <w:r w:rsidR="000447C3" w:rsidRPr="006C54E5">
        <w:t>ly skewed</w:t>
      </w:r>
      <w:r w:rsidR="00655E62" w:rsidRPr="006C54E5">
        <w:t xml:space="preserve"> but much more asymmetrical as the left tail </w:t>
      </w:r>
      <w:r w:rsidR="00BF3870" w:rsidRPr="006C54E5">
        <w:t xml:space="preserve">shows there was </w:t>
      </w:r>
      <w:r w:rsidR="00161B50" w:rsidRPr="006C54E5">
        <w:t>a broad range</w:t>
      </w:r>
      <w:r w:rsidR="00BF3870" w:rsidRPr="006C54E5">
        <w:t xml:space="preserve"> of temperatures experienced during the </w:t>
      </w:r>
      <w:r w:rsidRPr="006C54E5">
        <w:t>150-day</w:t>
      </w:r>
      <w:r w:rsidR="00BF3870" w:rsidRPr="006C54E5">
        <w:t xml:space="preserve"> time frame. The rightmost plot</w:t>
      </w:r>
      <w:r w:rsidR="00C276A8" w:rsidRPr="006C54E5">
        <w:t xml:space="preserve"> is a histogram of the distribution of Relative Humidity. From its kernel density </w:t>
      </w:r>
      <w:r w:rsidR="00D71F47" w:rsidRPr="006C54E5">
        <w:t xml:space="preserve">line estimate, it can be noticed that it is positively skewed and although asymmetrical, </w:t>
      </w:r>
      <w:r w:rsidR="007F30D6" w:rsidRPr="006C54E5">
        <w:t xml:space="preserve">it is the least asymmetrical of the </w:t>
      </w:r>
      <w:r w:rsidR="00F219BC" w:rsidRPr="006C54E5">
        <w:t>three</w:t>
      </w:r>
      <w:r w:rsidR="007F30D6" w:rsidRPr="006C54E5">
        <w:t xml:space="preserve"> plots. In comparison to the expected values,</w:t>
      </w:r>
      <w:r w:rsidR="00D82884" w:rsidRPr="006C54E5">
        <w:t xml:space="preserve"> none of the plots perfectly match expectations from prior research.</w:t>
      </w:r>
      <w:r w:rsidR="007F30D6" w:rsidRPr="006C54E5">
        <w:t xml:space="preserve"> </w:t>
      </w:r>
      <w:r w:rsidR="00D82884" w:rsidRPr="006C54E5">
        <w:t>T</w:t>
      </w:r>
      <w:r w:rsidR="007F30D6" w:rsidRPr="006C54E5">
        <w:t xml:space="preserve">he CO concentration </w:t>
      </w:r>
      <w:r w:rsidR="00D82884" w:rsidRPr="006C54E5">
        <w:t>being the closest exhibits its peak at circa 2 mg/mm</w:t>
      </w:r>
      <w:r w:rsidR="00D82884" w:rsidRPr="006C54E5">
        <w:rPr>
          <w:vertAlign w:val="superscript"/>
        </w:rPr>
        <w:t xml:space="preserve">3 </w:t>
      </w:r>
      <w:r w:rsidR="00D82884" w:rsidRPr="006C54E5">
        <w:t>while the expected value was 2.5</w:t>
      </w:r>
      <w:r w:rsidR="00A37AAD" w:rsidRPr="006C54E5">
        <w:t xml:space="preserve"> mg/mm</w:t>
      </w:r>
      <w:r w:rsidR="00A37AAD" w:rsidRPr="006C54E5">
        <w:rPr>
          <w:vertAlign w:val="superscript"/>
        </w:rPr>
        <w:t>3</w:t>
      </w:r>
      <w:r w:rsidR="00FF56B6" w:rsidRPr="006C54E5">
        <w:t xml:space="preserve">. According to </w:t>
      </w:r>
      <w:r w:rsidR="003E0BB3" w:rsidRPr="006C54E5">
        <w:t xml:space="preserve">the </w:t>
      </w:r>
      <w:r w:rsidR="00FF56B6" w:rsidRPr="006C54E5">
        <w:t>EEE</w:t>
      </w:r>
      <w:r w:rsidR="00FF56B6" w:rsidRPr="006C54E5">
        <w:rPr>
          <w:rStyle w:val="FootnoteReference"/>
        </w:rPr>
        <w:footnoteReference w:id="1"/>
      </w:r>
      <w:r w:rsidR="003E0BB3" w:rsidRPr="006C54E5">
        <w:t>,</w:t>
      </w:r>
      <w:r w:rsidR="002821D9" w:rsidRPr="006C54E5">
        <w:t xml:space="preserve"> and another </w:t>
      </w:r>
      <w:r w:rsidRPr="006C54E5">
        <w:t>source, the</w:t>
      </w:r>
      <w:r w:rsidR="003E0BB3" w:rsidRPr="006C54E5">
        <w:t xml:space="preserve"> annual mean temperature is between 2</w:t>
      </w:r>
      <w:r w:rsidR="002821D9" w:rsidRPr="006C54E5">
        <w:t xml:space="preserve"> - 17</w:t>
      </w:r>
      <w:r w:rsidR="003E0BB3" w:rsidRPr="006C54E5">
        <w:t xml:space="preserve"> °C</w:t>
      </w:r>
      <w:r w:rsidR="002821D9" w:rsidRPr="006C54E5">
        <w:t xml:space="preserve">. This was overshot greatly by the measurements which exhibit a peak frequency of </w:t>
      </w:r>
      <w:r w:rsidR="00002BE4" w:rsidRPr="006C54E5">
        <w:t>13 in the 26 – 28 °C range. Almost double the expected average.</w:t>
      </w:r>
      <w:r w:rsidR="00AC5BAC" w:rsidRPr="006C54E5">
        <w:t xml:space="preserve"> As for the RH, the </w:t>
      </w:r>
      <w:r w:rsidR="007C7511" w:rsidRPr="006C54E5">
        <w:t>humidity levels were expected to range from 60.5 % – 82.5%</w:t>
      </w:r>
      <w:r w:rsidR="00036A60">
        <w:rPr>
          <w:rStyle w:val="FootnoteReference"/>
        </w:rPr>
        <w:footnoteReference w:id="2"/>
      </w:r>
      <w:r w:rsidR="007C7511" w:rsidRPr="006C54E5">
        <w:t xml:space="preserve">, but the </w:t>
      </w:r>
      <w:r w:rsidR="009660B8" w:rsidRPr="006C54E5">
        <w:t>population</w:t>
      </w:r>
      <w:r w:rsidR="007C7511" w:rsidRPr="006C54E5">
        <w:t xml:space="preserve"> mean</w:t>
      </w:r>
      <w:r w:rsidR="009660B8" w:rsidRPr="006C54E5">
        <w:t xml:space="preserve"> lies much lower at circa </w:t>
      </w:r>
      <w:r w:rsidR="00502291" w:rsidRPr="006C54E5">
        <w:t>37%. From the onset, these discrepancies suggest that there could be some fault in</w:t>
      </w:r>
      <w:r w:rsidR="006C54E5" w:rsidRPr="006C54E5">
        <w:t xml:space="preserve"> the methods, and/or apparatus used for measurement.</w:t>
      </w:r>
    </w:p>
    <w:p w14:paraId="7BAAF929" w14:textId="3327CACA" w:rsidR="00F41D0F" w:rsidRPr="006C54E5" w:rsidRDefault="00F41D0F" w:rsidP="006C54E5">
      <w:r>
        <w:t xml:space="preserve">Scatter Plots were configured to gain even better insight </w:t>
      </w:r>
      <w:r w:rsidR="001B1B89">
        <w:t xml:space="preserve">into possible relationships within the dataset. The </w:t>
      </w:r>
      <w:r w:rsidR="00C33EA5">
        <w:t>plots are for CO concentration against Temperature, CO concentration against RH, and Temperature against RH. Which yielded correlation c</w:t>
      </w:r>
      <w:r w:rsidR="0025654D">
        <w:t>oefficients of -0.2363, 0.1288, and -0.6659 respectively; see Fig</w:t>
      </w:r>
      <w:r w:rsidR="00A64E0F">
        <w:t xml:space="preserve">. </w:t>
      </w:r>
      <w:r w:rsidR="00E83141">
        <w:t>2</w:t>
      </w:r>
      <w:r w:rsidR="0025654D">
        <w:t>.</w:t>
      </w:r>
      <w:r w:rsidR="000D4479">
        <w:t xml:space="preserve"> </w:t>
      </w:r>
      <w:r w:rsidR="00F219BC">
        <w:t>Two</w:t>
      </w:r>
      <w:r w:rsidR="000D4479">
        <w:t xml:space="preserve"> out of </w:t>
      </w:r>
      <w:r w:rsidR="00F219BC">
        <w:t>three</w:t>
      </w:r>
      <w:r w:rsidR="000D4479">
        <w:t xml:space="preserve"> </w:t>
      </w:r>
      <w:r w:rsidR="000D4479">
        <w:lastRenderedPageBreak/>
        <w:t xml:space="preserve">of these </w:t>
      </w:r>
      <w:r w:rsidR="00E75859">
        <w:t>plots show negative correlation, which implies that they move in opposite directions when their values are slightly altered</w:t>
      </w:r>
      <w:r w:rsidR="00607001">
        <w:t xml:space="preserve">, with </w:t>
      </w:r>
      <w:r w:rsidR="009A1EAB">
        <w:t>the inverse</w:t>
      </w:r>
      <w:r w:rsidR="00607001">
        <w:t xml:space="preserve"> correlation between T and RH being the best</w:t>
      </w:r>
      <w:r w:rsidR="000024F7">
        <w:t xml:space="preserve">. The scatter diagram clearly shows that there could be </w:t>
      </w:r>
      <w:r w:rsidR="003A16A1">
        <w:t xml:space="preserve">an approximately </w:t>
      </w:r>
      <w:r w:rsidR="000024F7">
        <w:t>linear relationship between T and RH, and this is expected</w:t>
      </w:r>
      <w:r w:rsidR="003A16A1">
        <w:t xml:space="preserve"> since taking a glance at a psychometry chart shows an exponential distribution which </w:t>
      </w:r>
      <w:r w:rsidR="00F3292D">
        <w:t>can be accurately assumed</w:t>
      </w:r>
      <w:r w:rsidR="003A16A1">
        <w:t xml:space="preserve"> linear </w:t>
      </w:r>
      <w:r w:rsidR="00F3292D">
        <w:t>for some sections of the curve</w:t>
      </w:r>
      <w:r w:rsidR="003A16A1">
        <w:t>.</w:t>
      </w:r>
    </w:p>
    <w:p w14:paraId="4D609937" w14:textId="77777777" w:rsidR="006C54E5" w:rsidRDefault="00FF58AA" w:rsidP="006C54E5">
      <w:pPr>
        <w:keepNext/>
        <w:jc w:val="center"/>
      </w:pPr>
      <w:r>
        <w:rPr>
          <w:noProof/>
        </w:rPr>
        <w:drawing>
          <wp:inline distT="0" distB="0" distL="0" distR="0" wp14:anchorId="28F3B4EB" wp14:editId="5DF8682D">
            <wp:extent cx="5725160" cy="2194560"/>
            <wp:effectExtent l="0" t="0" r="8890" b="0"/>
            <wp:docPr id="321175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6A3A" w14:textId="382C3686" w:rsidR="00F41D0F" w:rsidRPr="00F41D0F" w:rsidRDefault="006C54E5" w:rsidP="002F1455">
      <w:pPr>
        <w:pStyle w:val="Caption"/>
        <w:jc w:val="center"/>
      </w:pPr>
      <w:r w:rsidRPr="006C54E5">
        <w:t xml:space="preserve">Figure </w:t>
      </w:r>
      <w:r w:rsidR="00E83141">
        <w:t>2</w:t>
      </w:r>
      <w:r w:rsidRPr="006C54E5">
        <w:t xml:space="preserve">: </w:t>
      </w:r>
      <w:r w:rsidRPr="006C54E5">
        <w:rPr>
          <w:i w:val="0"/>
          <w:iCs w:val="0"/>
        </w:rPr>
        <w:t>Scatter</w:t>
      </w:r>
      <w:r w:rsidRPr="006C54E5">
        <w:t xml:space="preserve"> Plots of</w:t>
      </w:r>
      <w:r>
        <w:t xml:space="preserve"> </w:t>
      </w:r>
      <w:r w:rsidR="00E83141">
        <w:t xml:space="preserve">Certain </w:t>
      </w:r>
      <w:r w:rsidR="00E83141" w:rsidRPr="004B42D2">
        <w:rPr>
          <w:i w:val="0"/>
          <w:iCs w:val="0"/>
        </w:rPr>
        <w:t>Relationships</w:t>
      </w:r>
      <w:r w:rsidR="00E83141">
        <w:t xml:space="preserve"> (i) CO vs T</w:t>
      </w:r>
      <w:r w:rsidR="004B42D2">
        <w:t>, (ii) CO vs RH, (iii) T vs RH</w:t>
      </w:r>
      <w:r>
        <w:t xml:space="preserve"> (L - R)</w:t>
      </w:r>
    </w:p>
    <w:p w14:paraId="29E3E8D4" w14:textId="0EF59CA1" w:rsidR="005E5645" w:rsidRPr="00EC2768" w:rsidRDefault="005E5645" w:rsidP="006C54E5">
      <w:pPr>
        <w:pStyle w:val="Heading1"/>
      </w:pPr>
      <w:bookmarkStart w:id="2" w:name="_Toc160787849"/>
      <w:r w:rsidRPr="00EC2768">
        <w:t>Modelling</w:t>
      </w:r>
      <w:bookmarkEnd w:id="2"/>
    </w:p>
    <w:p w14:paraId="77F539A1" w14:textId="41BB6EE5" w:rsidR="00557DFB" w:rsidRDefault="00050147" w:rsidP="00F05364">
      <w:pPr>
        <w:keepNext/>
        <w:jc w:val="center"/>
      </w:pPr>
      <w:r w:rsidRPr="00050147">
        <w:t>The scatter diagrams i</w:t>
      </w:r>
      <w:r>
        <w:t xml:space="preserve">n Fig. </w:t>
      </w:r>
      <w:r w:rsidR="004B42D2">
        <w:t>2</w:t>
      </w:r>
      <w:r>
        <w:t xml:space="preserve"> </w:t>
      </w:r>
      <w:r w:rsidR="00FF7B7C">
        <w:t xml:space="preserve">had linear regression models fit over </w:t>
      </w:r>
      <w:r w:rsidR="00B53316">
        <w:t>Fig. 2 (</w:t>
      </w:r>
      <w:r w:rsidR="00FF7B7C">
        <w:t>i</w:t>
      </w:r>
      <w:r w:rsidR="00B53316">
        <w:t>)</w:t>
      </w:r>
      <w:r w:rsidR="00FF7B7C">
        <w:t xml:space="preserve">, and ii </w:t>
      </w:r>
      <w:r w:rsidR="0046788A">
        <w:t xml:space="preserve">the resulting coefficients of determination </w:t>
      </w:r>
      <w:r w:rsidR="00642E7C">
        <w:t xml:space="preserve">are 0.0558, and </w:t>
      </w:r>
      <w:r w:rsidR="00F219BC">
        <w:t>0.0166,</w:t>
      </w:r>
      <w:r w:rsidR="00642E7C">
        <w:t xml:space="preserve"> respectively</w:t>
      </w:r>
      <w:r w:rsidR="00D27A8E">
        <w:t>. This</w:t>
      </w:r>
      <w:r w:rsidR="00213F5D">
        <w:t xml:space="preserve"> implied that the model</w:t>
      </w:r>
      <w:r w:rsidR="00D27A8E">
        <w:t xml:space="preserve"> suggests </w:t>
      </w:r>
      <w:r w:rsidR="006D0702">
        <w:t xml:space="preserve">the variation in Carbon Monoxide Concentration was only </w:t>
      </w:r>
      <w:r w:rsidR="00DA04DC">
        <w:t xml:space="preserve">about </w:t>
      </w:r>
      <w:r w:rsidR="006D0702">
        <w:t>5.6%</w:t>
      </w:r>
      <w:r w:rsidR="00213F5D">
        <w:t xml:space="preserve"> due to changes in </w:t>
      </w:r>
      <w:r w:rsidR="009A1EAB">
        <w:t>Temperature,</w:t>
      </w:r>
      <w:r w:rsidR="006D0702">
        <w:t xml:space="preserve"> a</w:t>
      </w:r>
      <w:r w:rsidR="00213F5D">
        <w:t>n</w:t>
      </w:r>
      <w:r w:rsidR="00EF08B7">
        <w:t>d 1.7% due to changes in the Relative Humidity of the surrounding Atmosphere.</w:t>
      </w:r>
      <w:r w:rsidR="008522A3">
        <w:t xml:space="preserve"> According to textbook heuristic, since both values of r</w:t>
      </w:r>
      <w:r w:rsidR="008522A3" w:rsidRPr="008522A3">
        <w:rPr>
          <w:vertAlign w:val="superscript"/>
        </w:rPr>
        <w:t>2</w:t>
      </w:r>
      <w:r w:rsidR="008522A3">
        <w:rPr>
          <w:noProof/>
        </w:rPr>
        <w:t xml:space="preserve"> obtained are below 0.5 i.e., 50%, the </w:t>
      </w:r>
      <w:r w:rsidR="000F0B4E">
        <w:rPr>
          <w:noProof/>
        </w:rPr>
        <w:t xml:space="preserve">correlation </w:t>
      </w:r>
      <w:r w:rsidR="00D63C0F">
        <w:rPr>
          <w:noProof/>
        </w:rPr>
        <w:t xml:space="preserve">must be </w:t>
      </w:r>
      <w:r w:rsidR="000F0B4E">
        <w:rPr>
          <w:noProof/>
        </w:rPr>
        <w:t>weak</w:t>
      </w:r>
      <w:r w:rsidR="00D63C0F">
        <w:rPr>
          <w:noProof/>
        </w:rPr>
        <w:t xml:space="preserve">. Another consideration would be that </w:t>
      </w:r>
      <w:r w:rsidR="005C3096">
        <w:rPr>
          <w:noProof/>
        </w:rPr>
        <w:t>the relationship is non-linear, but from the scatter chart, no higher order polynomial is  immediately obvious</w:t>
      </w:r>
      <w:r w:rsidR="00A4323C">
        <w:rPr>
          <w:noProof/>
        </w:rPr>
        <w:t>, and therefore the inference that the relationship</w:t>
      </w:r>
      <w:r w:rsidR="00501CD9">
        <w:rPr>
          <w:noProof/>
        </w:rPr>
        <w:t>s</w:t>
      </w:r>
      <w:r w:rsidR="00A4323C">
        <w:rPr>
          <w:noProof/>
        </w:rPr>
        <w:t xml:space="preserve"> </w:t>
      </w:r>
      <w:r w:rsidR="00F3292D">
        <w:rPr>
          <w:noProof/>
        </w:rPr>
        <w:t xml:space="preserve">between these </w:t>
      </w:r>
      <w:r w:rsidR="00501CD9">
        <w:rPr>
          <w:noProof/>
        </w:rPr>
        <w:t xml:space="preserve">quantities </w:t>
      </w:r>
      <w:r w:rsidR="00A4323C">
        <w:rPr>
          <w:noProof/>
        </w:rPr>
        <w:t>are weak must be true.</w:t>
      </w:r>
      <w:r w:rsidR="000F0B4E">
        <w:rPr>
          <w:noProof/>
        </w:rPr>
        <w:t xml:space="preserve"> </w:t>
      </w:r>
      <w:r w:rsidR="00642E7C">
        <w:rPr>
          <w:noProof/>
        </w:rPr>
        <w:drawing>
          <wp:inline distT="0" distB="0" distL="0" distR="0" wp14:anchorId="153A6627" wp14:editId="7DA1EA09">
            <wp:extent cx="5088835" cy="2833966"/>
            <wp:effectExtent l="0" t="0" r="0" b="5080"/>
            <wp:docPr id="1392840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758" cy="284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BACC" w14:textId="111C0B0A" w:rsidR="00050147" w:rsidRDefault="00557DFB" w:rsidP="00226274">
      <w:pPr>
        <w:pStyle w:val="Caption"/>
        <w:jc w:val="center"/>
      </w:pPr>
      <w:r w:rsidRPr="00557DFB">
        <w:t xml:space="preserve">Figure </w:t>
      </w:r>
      <w:r w:rsidR="004B42D2">
        <w:t>3</w:t>
      </w:r>
      <w:r w:rsidRPr="00557DFB">
        <w:t>: Scatter Plots wit</w:t>
      </w:r>
      <w:r>
        <w:t xml:space="preserve">h Linear Regression Fit onto </w:t>
      </w:r>
      <w:r w:rsidR="009A1EAB">
        <w:t>them.</w:t>
      </w:r>
    </w:p>
    <w:p w14:paraId="006F993B" w14:textId="70C763E7" w:rsidR="004022B4" w:rsidRDefault="00AE2E8F" w:rsidP="00862A03">
      <w:r>
        <w:t>As is evident from Fig</w:t>
      </w:r>
      <w:r w:rsidR="004B42D2">
        <w:t>s</w:t>
      </w:r>
      <w:r>
        <w:t xml:space="preserve">. </w:t>
      </w:r>
      <w:r w:rsidR="004B42D2">
        <w:t>2, and 3</w:t>
      </w:r>
      <w:r>
        <w:t xml:space="preserve"> above, </w:t>
      </w:r>
      <w:r w:rsidR="00001B16">
        <w:t xml:space="preserve">the lack of any trends in the plotted points, even when a best fit line is drawn shows that </w:t>
      </w:r>
      <w:r w:rsidR="00603AF0">
        <w:t xml:space="preserve">the linear regression model is not a great fit for the data sample available. </w:t>
      </w:r>
      <w:r w:rsidR="00862A03">
        <w:t xml:space="preserve">Further </w:t>
      </w:r>
      <w:r w:rsidR="00C2205A">
        <w:t xml:space="preserve">investigation is </w:t>
      </w:r>
      <w:r w:rsidR="000703C2">
        <w:t>needed and</w:t>
      </w:r>
      <w:r w:rsidR="00C2205A">
        <w:t xml:space="preserve"> given access to the entire population the next logical thing is to </w:t>
      </w:r>
      <w:r w:rsidR="00161347">
        <w:t xml:space="preserve">apply a linear </w:t>
      </w:r>
      <w:r w:rsidR="00161347">
        <w:lastRenderedPageBreak/>
        <w:t>model to a scatter of CO against T and RH</w:t>
      </w:r>
      <w:r w:rsidR="00EA66BB">
        <w:t xml:space="preserve"> making use of a polynomial regression </w:t>
      </w:r>
      <w:r w:rsidR="009A1EAB">
        <w:t>instead.</w:t>
      </w:r>
      <w:r w:rsidR="00161347">
        <w:t xml:space="preserve"> This resulted in a slight improvement in </w:t>
      </w:r>
      <w:r w:rsidR="00D80B24">
        <w:t>coefficient of determination but to</w:t>
      </w:r>
      <w:r w:rsidR="00E95F62">
        <w:t>o</w:t>
      </w:r>
      <w:r w:rsidR="00D80B24">
        <w:t xml:space="preserve"> minimal to </w:t>
      </w:r>
      <w:r w:rsidR="000529CF">
        <w:t xml:space="preserve">recharacterize </w:t>
      </w:r>
      <w:r w:rsidR="009A1EAB">
        <w:t>the coefficient</w:t>
      </w:r>
      <w:r w:rsidR="000529CF">
        <w:t xml:space="preserve"> as moderate</w:t>
      </w:r>
      <w:r w:rsidR="00E41F15">
        <w:t>; increased r</w:t>
      </w:r>
      <w:r w:rsidR="00E41F15" w:rsidRPr="00E41F15">
        <w:rPr>
          <w:vertAlign w:val="superscript"/>
        </w:rPr>
        <w:t>2</w:t>
      </w:r>
      <w:r w:rsidR="00E41F15">
        <w:t xml:space="preserve"> from</w:t>
      </w:r>
      <w:r w:rsidR="000703C2">
        <w:t xml:space="preserve"> 0.0573 to 0.2542 see Fig. 4(</w:t>
      </w:r>
      <w:proofErr w:type="spellStart"/>
      <w:r w:rsidR="000703C2">
        <w:t>i</w:t>
      </w:r>
      <w:proofErr w:type="spellEnd"/>
      <w:r w:rsidR="000703C2">
        <w:t>).</w:t>
      </w:r>
    </w:p>
    <w:p w14:paraId="720F7946" w14:textId="2537D52F" w:rsidR="00D2583C" w:rsidRDefault="005B1068" w:rsidP="009E3AAB">
      <w:pPr>
        <w:keepNext/>
      </w:pPr>
      <w:r>
        <w:t xml:space="preserve">Changing from linear to a polynomial </w:t>
      </w:r>
      <w:r w:rsidR="000703C2">
        <w:t>regression,</w:t>
      </w:r>
      <w:r>
        <w:t xml:space="preserve"> however,</w:t>
      </w:r>
      <w:r w:rsidR="00891260">
        <w:t xml:space="preserve"> shows instant improvements to the calculated</w:t>
      </w:r>
      <w:r>
        <w:t xml:space="preserve"> </w:t>
      </w:r>
      <w:r w:rsidR="00927529">
        <w:t xml:space="preserve">coefficient of determination. The </w:t>
      </w:r>
      <w:r w:rsidR="003510D5">
        <w:t xml:space="preserve">outcome of increasing the order of the polynomial regression from linear to quartic is shown in the form of a bar chart in Fig. </w:t>
      </w:r>
      <w:r w:rsidR="00661EFF">
        <w:t>4</w:t>
      </w:r>
      <w:r w:rsidR="003510D5">
        <w:t xml:space="preserve"> </w:t>
      </w:r>
      <w:r w:rsidR="00160D63">
        <w:t>below</w:t>
      </w:r>
      <w:r w:rsidR="003510D5">
        <w:t xml:space="preserve">. Here we can see that </w:t>
      </w:r>
      <w:r w:rsidR="00E21912">
        <w:t>a quartic regression yields a coefficient corresponding to &gt; 20%</w:t>
      </w:r>
      <w:r w:rsidR="002D42BC">
        <w:t xml:space="preserve">, </w:t>
      </w:r>
      <w:r w:rsidR="00C124C7">
        <w:t>implying that increasing the order of polynomials,</w:t>
      </w:r>
      <w:r w:rsidR="00E21912">
        <w:t xml:space="preserve"> is a </w:t>
      </w:r>
      <w:r w:rsidR="004022B4">
        <w:t xml:space="preserve">step in the right direction. </w:t>
      </w:r>
      <w:r w:rsidR="00E672D8">
        <w:t xml:space="preserve">Increasing the order of the polynomial </w:t>
      </w:r>
      <w:r w:rsidR="007A2CBF">
        <w:t>continues this relationship until n = 10 is reached where there is a steep drop off to circa r</w:t>
      </w:r>
      <w:r w:rsidR="007A2CBF" w:rsidRPr="007A2CBF">
        <w:rPr>
          <w:vertAlign w:val="superscript"/>
        </w:rPr>
        <w:t>2</w:t>
      </w:r>
      <w:r w:rsidR="007A2CBF">
        <w:t xml:space="preserve"> = -1.5 and at n = 11 the curve immediately bounces back and continues on its upward trend; see Fig. </w:t>
      </w:r>
      <w:r w:rsidR="00F05364">
        <w:t>4 right</w:t>
      </w:r>
      <w:r w:rsidR="007A2CBF">
        <w:t>.</w:t>
      </w:r>
    </w:p>
    <w:p w14:paraId="7C1A349C" w14:textId="168471D3" w:rsidR="00160D63" w:rsidRDefault="00160D63" w:rsidP="00D2583C">
      <w:pPr>
        <w:keepNext/>
        <w:jc w:val="center"/>
      </w:pPr>
      <w:r>
        <w:rPr>
          <w:noProof/>
        </w:rPr>
        <w:drawing>
          <wp:inline distT="0" distB="0" distL="0" distR="0" wp14:anchorId="05D1D00A" wp14:editId="78FE8C3A">
            <wp:extent cx="2132754" cy="1719304"/>
            <wp:effectExtent l="0" t="0" r="1270" b="0"/>
            <wp:docPr id="1691745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338" cy="174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6AE">
        <w:rPr>
          <w:noProof/>
        </w:rPr>
        <w:drawing>
          <wp:inline distT="0" distB="0" distL="0" distR="0" wp14:anchorId="2BF9F686" wp14:editId="5507817F">
            <wp:extent cx="3143873" cy="1733384"/>
            <wp:effectExtent l="0" t="0" r="0" b="635"/>
            <wp:docPr id="6816278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93" cy="176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1435" w14:textId="329B1AC7" w:rsidR="00661EFF" w:rsidRPr="00661EFF" w:rsidRDefault="00160D63" w:rsidP="00661EFF">
      <w:pPr>
        <w:pStyle w:val="Caption"/>
        <w:jc w:val="center"/>
      </w:pPr>
      <w:r>
        <w:t xml:space="preserve">Figure </w:t>
      </w:r>
      <w:r w:rsidR="00661EFF">
        <w:t>4</w:t>
      </w:r>
      <w:r>
        <w:t xml:space="preserve">: </w:t>
      </w:r>
      <w:r w:rsidR="009C62A9">
        <w:t xml:space="preserve"> </w:t>
      </w:r>
      <w:r w:rsidR="009C62A9" w:rsidRPr="00661EFF">
        <w:rPr>
          <w:i w:val="0"/>
          <w:iCs w:val="0"/>
        </w:rPr>
        <w:t>Variations</w:t>
      </w:r>
      <w:r w:rsidR="009C62A9">
        <w:t xml:space="preserve"> in </w:t>
      </w:r>
      <w:r>
        <w:t>Coefficient of Determination as n increases</w:t>
      </w:r>
      <w:r w:rsidR="00661EFF">
        <w:t xml:space="preserve"> (i) Bar Chart n = 1 – 4 (ii) Line Diagram n = 1 – 20; where n is the order of the regression polynomial</w:t>
      </w:r>
      <w:r w:rsidR="00F05364">
        <w:t xml:space="preserve"> (L-R)</w:t>
      </w:r>
    </w:p>
    <w:p w14:paraId="043B0972" w14:textId="7F66C5EC" w:rsidR="002008E4" w:rsidRDefault="00B33416" w:rsidP="002008E4">
      <w:r>
        <w:t xml:space="preserve"> Fitting the </w:t>
      </w:r>
      <w:r w:rsidR="009C2D16">
        <w:t>scatterplot with multiple regression models</w:t>
      </w:r>
      <w:r w:rsidR="00150472">
        <w:t xml:space="preserve"> showed that the </w:t>
      </w:r>
    </w:p>
    <w:p w14:paraId="2F795C6D" w14:textId="61DC9ADB" w:rsidR="005E5645" w:rsidRDefault="005E5645" w:rsidP="006C54E5">
      <w:pPr>
        <w:pStyle w:val="Heading1"/>
      </w:pPr>
      <w:bookmarkStart w:id="3" w:name="_Toc160787850"/>
      <w:r w:rsidRPr="00557DFB">
        <w:t>Prediction</w:t>
      </w:r>
      <w:bookmarkEnd w:id="3"/>
    </w:p>
    <w:p w14:paraId="0F23D7B0" w14:textId="1B51A11D" w:rsidR="00696E9D" w:rsidRDefault="009012DB" w:rsidP="00696E9D">
      <w:r>
        <w:t xml:space="preserve">Furthering the investigation into the </w:t>
      </w:r>
      <w:r w:rsidR="004E6C3F">
        <w:t xml:space="preserve">relationships present, we employ the 2-fold cross-validation method, in which we use one half of the sample to </w:t>
      </w:r>
      <w:r w:rsidR="00CC0B4B">
        <w:t>instantiate</w:t>
      </w:r>
      <w:r w:rsidR="004E6C3F">
        <w:t xml:space="preserve"> a model, and the other half of the sample to  </w:t>
      </w:r>
      <w:r w:rsidR="00CC0B4B">
        <w:t xml:space="preserve">test said model, recording the residuals </w:t>
      </w:r>
      <w:r w:rsidR="00302BB4">
        <w:t>that occur for each prediction</w:t>
      </w:r>
      <w:r w:rsidR="00501CD9">
        <w:t xml:space="preserve">, and </w:t>
      </w:r>
      <w:r w:rsidR="0049290B">
        <w:t>repeating vice versa</w:t>
      </w:r>
      <w:r w:rsidR="00302BB4">
        <w:t xml:space="preserve">. The 2-fold cross-validation method was </w:t>
      </w:r>
      <w:r w:rsidR="0049290B">
        <w:t xml:space="preserve">employed on the </w:t>
      </w:r>
      <w:r w:rsidR="00F219BC">
        <w:t>three</w:t>
      </w:r>
      <w:r w:rsidR="0049290B">
        <w:t xml:space="preserve"> models being considered</w:t>
      </w:r>
      <w:r w:rsidR="009E3AAB">
        <w:t>. CO vs T, CO vs RH, and CO vs T and RH.</w:t>
      </w:r>
      <w:r w:rsidR="00BC7DDE">
        <w:t xml:space="preserve"> </w:t>
      </w:r>
    </w:p>
    <w:p w14:paraId="31DA9707" w14:textId="77777777" w:rsidR="001256AC" w:rsidRDefault="00AB7B45" w:rsidP="001256AC">
      <w:pPr>
        <w:keepNext/>
        <w:jc w:val="center"/>
      </w:pPr>
      <w:r>
        <w:rPr>
          <w:noProof/>
        </w:rPr>
        <w:drawing>
          <wp:inline distT="0" distB="0" distL="0" distR="0" wp14:anchorId="2C15CB53" wp14:editId="0F064B40">
            <wp:extent cx="5677535" cy="2067560"/>
            <wp:effectExtent l="0" t="0" r="0" b="8890"/>
            <wp:docPr id="4549780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CA163" w14:textId="7B6B2F06" w:rsidR="00696E9D" w:rsidRDefault="001256AC" w:rsidP="001256AC">
      <w:pPr>
        <w:pStyle w:val="Caption"/>
        <w:jc w:val="center"/>
      </w:pPr>
      <w:r>
        <w:t xml:space="preserve">Figure </w:t>
      </w:r>
      <w:r w:rsidR="00661EFF">
        <w:t>5</w:t>
      </w:r>
      <w:r>
        <w:t xml:space="preserve">: Bar </w:t>
      </w:r>
      <w:r w:rsidRPr="00661EFF">
        <w:rPr>
          <w:i w:val="0"/>
          <w:iCs w:val="0"/>
        </w:rPr>
        <w:t>Charts</w:t>
      </w:r>
      <w:r>
        <w:t xml:space="preserve"> to Assess Normality of Residuals</w:t>
      </w:r>
      <w:r w:rsidR="008769DC">
        <w:t xml:space="preserve"> from 2-fold cross-</w:t>
      </w:r>
      <w:r w:rsidR="000703C2">
        <w:t>validation.</w:t>
      </w:r>
    </w:p>
    <w:p w14:paraId="2AA0EC12" w14:textId="2C96C5CF" w:rsidR="001256AC" w:rsidRDefault="000F0F34" w:rsidP="001256AC">
      <w:r>
        <w:lastRenderedPageBreak/>
        <w:t xml:space="preserve">After performing 2-fold cross-validation on </w:t>
      </w:r>
      <w:r w:rsidR="00C03773">
        <w:t>the models available, the residuals of both folds were collated and plot on a pseudo – butterfly chart</w:t>
      </w:r>
      <w:r w:rsidR="008E7213">
        <w:rPr>
          <w:rStyle w:val="FootnoteReference"/>
        </w:rPr>
        <w:footnoteReference w:id="3"/>
      </w:r>
      <w:r w:rsidR="00C03773">
        <w:t xml:space="preserve">. </w:t>
      </w:r>
      <w:r w:rsidR="000022A6">
        <w:t xml:space="preserve">The fold </w:t>
      </w:r>
      <w:r w:rsidR="00F219BC">
        <w:t>one</w:t>
      </w:r>
      <w:r w:rsidR="000022A6">
        <w:t xml:space="preserve">, and </w:t>
      </w:r>
      <w:r w:rsidR="00F219BC">
        <w:t>two</w:t>
      </w:r>
      <w:r w:rsidR="000022A6">
        <w:t xml:space="preserve"> residuals are plot as yellow and orange bars respectively</w:t>
      </w:r>
      <w:r w:rsidR="00710898">
        <w:t>, and their means are plot as dashed black lines</w:t>
      </w:r>
      <w:r w:rsidR="00A47447">
        <w:t xml:space="preserve">. </w:t>
      </w:r>
      <w:r w:rsidR="000703C2">
        <w:t>Overall,</w:t>
      </w:r>
      <w:r w:rsidR="00323DA2">
        <w:t xml:space="preserve"> t</w:t>
      </w:r>
      <w:r w:rsidR="00A47447">
        <w:t xml:space="preserve">he </w:t>
      </w:r>
      <w:r w:rsidR="00323DA2">
        <w:t>f</w:t>
      </w:r>
      <w:r w:rsidR="00A47447">
        <w:t xml:space="preserve">old 1 Residuals </w:t>
      </w:r>
      <w:r w:rsidR="00323DA2">
        <w:t xml:space="preserve">exhibit more normality in terms of frequency distribution all </w:t>
      </w:r>
      <w:r w:rsidR="00C07817">
        <w:t>distributions being</w:t>
      </w:r>
      <w:r w:rsidR="00CA146F">
        <w:t xml:space="preserve"> slightly negatively skewed </w:t>
      </w:r>
      <w:r w:rsidR="00D7718D">
        <w:t>(excluding the distribution of CO</w:t>
      </w:r>
      <w:r w:rsidR="00165008">
        <w:t xml:space="preserve"> vs RH</w:t>
      </w:r>
      <w:r w:rsidR="00D7718D">
        <w:t xml:space="preserve">) </w:t>
      </w:r>
      <w:r w:rsidR="00CA146F">
        <w:t>and centred roughly around</w:t>
      </w:r>
      <w:r w:rsidR="00E23E0B">
        <w:t xml:space="preserve"> the 0-1 bin. For fold </w:t>
      </w:r>
      <w:r w:rsidR="00F219BC">
        <w:t>two</w:t>
      </w:r>
      <w:r w:rsidR="00E23E0B">
        <w:t xml:space="preserve">, the Residuals are all </w:t>
      </w:r>
      <w:r w:rsidR="00AB1E7F">
        <w:t>heavily negatively skewed w</w:t>
      </w:r>
      <w:r w:rsidR="00913A29">
        <w:t>here</w:t>
      </w:r>
      <w:r w:rsidR="00AB1E7F">
        <w:t xml:space="preserve"> a steep drop off at the right tail</w:t>
      </w:r>
      <w:r w:rsidR="00913A29">
        <w:t xml:space="preserve"> would be noticed if the kernel density estimates were plot.</w:t>
      </w:r>
    </w:p>
    <w:p w14:paraId="6ADE565E" w14:textId="77777777" w:rsidR="00B37846" w:rsidRDefault="00B37846" w:rsidP="00B37846">
      <w:pPr>
        <w:keepNext/>
        <w:jc w:val="center"/>
      </w:pPr>
      <w:r>
        <w:rPr>
          <w:noProof/>
        </w:rPr>
        <w:drawing>
          <wp:inline distT="0" distB="0" distL="0" distR="0" wp14:anchorId="42F16936" wp14:editId="09911B19">
            <wp:extent cx="4094922" cy="2092879"/>
            <wp:effectExtent l="0" t="0" r="1270" b="3175"/>
            <wp:docPr id="16431869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683" cy="210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EBC3" w14:textId="173F956C" w:rsidR="00567D29" w:rsidRDefault="00B37846" w:rsidP="00B37846">
      <w:pPr>
        <w:pStyle w:val="Caption"/>
        <w:jc w:val="center"/>
      </w:pPr>
      <w:r>
        <w:t xml:space="preserve">Figure </w:t>
      </w:r>
      <w:r w:rsidR="00661EFF">
        <w:t>6</w:t>
      </w:r>
      <w:r>
        <w:t xml:space="preserve">: Sum of Squared Residuals for the </w:t>
      </w:r>
      <w:r w:rsidR="00F219BC">
        <w:t>three</w:t>
      </w:r>
      <w:r>
        <w:t xml:space="preserve"> models </w:t>
      </w:r>
      <w:r w:rsidR="000703C2">
        <w:t>considered.</w:t>
      </w:r>
    </w:p>
    <w:p w14:paraId="27818835" w14:textId="37F2FB70" w:rsidR="000957F9" w:rsidRPr="001256AC" w:rsidRDefault="000957F9" w:rsidP="001256AC">
      <w:r>
        <w:t>Assessing the models using the sum of the squares of the residuals</w:t>
      </w:r>
      <w:r w:rsidR="006B7502">
        <w:t xml:space="preserve">, </w:t>
      </w:r>
      <w:r w:rsidR="00D76EED">
        <w:t>the CO vs T model has the lowest value</w:t>
      </w:r>
      <w:r w:rsidR="000004F8">
        <w:t xml:space="preserve"> (SSR = 45.72)</w:t>
      </w:r>
      <w:r w:rsidR="00D76EED">
        <w:t xml:space="preserve">, with the CO vs </w:t>
      </w:r>
      <w:r w:rsidR="003332E3">
        <w:t>RH model having the highest value</w:t>
      </w:r>
      <w:r w:rsidR="000004F8">
        <w:t xml:space="preserve"> (SSR = 57.</w:t>
      </w:r>
      <w:r w:rsidR="005E3987">
        <w:t>9</w:t>
      </w:r>
      <w:r w:rsidR="000004F8">
        <w:t>)</w:t>
      </w:r>
      <w:r w:rsidR="003332E3">
        <w:t xml:space="preserve">. This implies that they have the best and poorest fits to the given </w:t>
      </w:r>
      <w:r w:rsidR="00F219BC">
        <w:t>data,</w:t>
      </w:r>
      <w:r w:rsidR="003332E3">
        <w:t xml:space="preserve"> respectively.</w:t>
      </w:r>
    </w:p>
    <w:p w14:paraId="5A0D4307" w14:textId="186C55CA" w:rsidR="005E5645" w:rsidRDefault="005E5645" w:rsidP="006C54E5">
      <w:pPr>
        <w:pStyle w:val="Heading1"/>
      </w:pPr>
      <w:bookmarkStart w:id="4" w:name="_Toc160787851"/>
      <w:r w:rsidRPr="005E5645">
        <w:t>Including Time as a Feature</w:t>
      </w:r>
      <w:bookmarkEnd w:id="4"/>
    </w:p>
    <w:p w14:paraId="303A2F36" w14:textId="77777777" w:rsidR="007447E0" w:rsidRDefault="007447E0" w:rsidP="00F05364">
      <w:pPr>
        <w:keepNext/>
        <w:jc w:val="center"/>
      </w:pPr>
      <w:r>
        <w:rPr>
          <w:rStyle w:val="code-bold"/>
          <w:rFonts w:ascii="Consolas" w:hAnsi="Consolas"/>
          <w:b/>
          <w:bCs/>
          <w:noProof/>
          <w:sz w:val="21"/>
          <w:szCs w:val="21"/>
        </w:rPr>
        <w:drawing>
          <wp:inline distT="0" distB="0" distL="0" distR="0" wp14:anchorId="2178C76B" wp14:editId="0B9533A7">
            <wp:extent cx="5876014" cy="2243913"/>
            <wp:effectExtent l="0" t="0" r="0" b="4445"/>
            <wp:docPr id="7343996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174" cy="22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23B68" w14:textId="646674AF" w:rsidR="007447E0" w:rsidRDefault="007447E0" w:rsidP="00AA2190">
      <w:pPr>
        <w:pStyle w:val="Caption"/>
        <w:jc w:val="center"/>
      </w:pPr>
      <w:r w:rsidRPr="00AA2190">
        <w:t xml:space="preserve">Figure </w:t>
      </w:r>
      <w:r w:rsidR="00661EFF">
        <w:t>7</w:t>
      </w:r>
      <w:r w:rsidRPr="00AA2190">
        <w:t xml:space="preserve">: </w:t>
      </w:r>
      <w:r w:rsidR="00090C3D" w:rsidRPr="00AA2190">
        <w:t xml:space="preserve">(i) </w:t>
      </w:r>
      <w:r w:rsidR="00AA2190" w:rsidRPr="00AA2190">
        <w:t>Carbon Monoxide Conc</w:t>
      </w:r>
      <w:r w:rsidR="00AA2190">
        <w:t>.</w:t>
      </w:r>
      <w:r w:rsidR="00AA2190" w:rsidRPr="00AA2190">
        <w:t xml:space="preserve"> with </w:t>
      </w:r>
      <w:r w:rsidR="00AA2190" w:rsidRPr="00661EFF">
        <w:rPr>
          <w:i w:val="0"/>
          <w:iCs w:val="0"/>
        </w:rPr>
        <w:t>time</w:t>
      </w:r>
      <w:r w:rsidR="00AA2190">
        <w:t xml:space="preserve"> as a covariate (i) Carbon Monoxide Conc. with squared root of time as a covariate</w:t>
      </w:r>
    </w:p>
    <w:p w14:paraId="3D9CF1CB" w14:textId="5384DD44" w:rsidR="00AA2190" w:rsidRDefault="00C91D5C" w:rsidP="00AA2190">
      <w:r>
        <w:t>Fur</w:t>
      </w:r>
      <w:r w:rsidR="003C6CCE">
        <w:t xml:space="preserve">ther inspection of the carbon monoxide concentration with respect to time in the form of number of days and </w:t>
      </w:r>
      <w:r w:rsidR="0070720C">
        <w:t xml:space="preserve">squared root of the number of days was carried out. These relationships were pot on a scatter graph and yielded correlation coefficients of </w:t>
      </w:r>
      <w:r w:rsidR="00BA116C">
        <w:t>0.1863, and 0.1636</w:t>
      </w:r>
      <w:r w:rsidR="00E95F62">
        <w:t xml:space="preserve"> respectively</w:t>
      </w:r>
      <w:r w:rsidR="00BA116C">
        <w:t xml:space="preserve"> showing weak correlation once again (&lt;</w:t>
      </w:r>
      <w:r w:rsidR="0040663A">
        <w:t xml:space="preserve"> </w:t>
      </w:r>
      <w:r w:rsidR="00BA116C">
        <w:t>0.5).</w:t>
      </w:r>
    </w:p>
    <w:p w14:paraId="0C3350CB" w14:textId="0C69E8B1" w:rsidR="006D080C" w:rsidRDefault="004D7E98" w:rsidP="00AA2190">
      <w:r>
        <w:lastRenderedPageBreak/>
        <w:t xml:space="preserve">The linear regression model built for the CO vs Day relationship shows a better overall fit with the </w:t>
      </w:r>
      <w:r w:rsidR="00AE7DCE">
        <w:t>line of best fit, as there is a more balanced distribution of points above and below said line, when compared to the C</w:t>
      </w:r>
      <w:r w:rsidR="008443FC">
        <w:t>O</w:t>
      </w:r>
      <w:r w:rsidR="00AE7DCE">
        <w:t xml:space="preserve"> vs sqrtDay</w:t>
      </w:r>
      <w:r w:rsidR="008443FC">
        <w:t xml:space="preserve"> plot</w:t>
      </w:r>
      <w:r w:rsidR="00A13EB3">
        <w:t>.</w:t>
      </w:r>
    </w:p>
    <w:p w14:paraId="4171DBED" w14:textId="77777777" w:rsidR="00661EFF" w:rsidRDefault="006E5868" w:rsidP="00661EFF">
      <w:pPr>
        <w:keepNext/>
        <w:jc w:val="center"/>
      </w:pPr>
      <w:r>
        <w:rPr>
          <w:noProof/>
        </w:rPr>
        <w:drawing>
          <wp:inline distT="0" distB="0" distL="0" distR="0" wp14:anchorId="4A663895" wp14:editId="123BE3DB">
            <wp:extent cx="5693410" cy="2067560"/>
            <wp:effectExtent l="0" t="0" r="2540" b="8890"/>
            <wp:docPr id="176144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E24C" w14:textId="1A0D8531" w:rsidR="00661EFF" w:rsidRDefault="00661EFF" w:rsidP="00661EFF">
      <w:pPr>
        <w:pStyle w:val="Caption"/>
        <w:jc w:val="center"/>
      </w:pPr>
      <w:r>
        <w:t>Figure 8: 3 Quantity 2-Way Model Comparison</w:t>
      </w:r>
    </w:p>
    <w:p w14:paraId="18AC1F0A" w14:textId="77777777" w:rsidR="00661EFF" w:rsidRDefault="0036790E" w:rsidP="00661EFF">
      <w:pPr>
        <w:keepNext/>
        <w:jc w:val="center"/>
      </w:pPr>
      <w:r>
        <w:rPr>
          <w:noProof/>
        </w:rPr>
        <w:drawing>
          <wp:inline distT="0" distB="0" distL="0" distR="0" wp14:anchorId="17DEC8CA" wp14:editId="05F02B41">
            <wp:extent cx="4102873" cy="2296261"/>
            <wp:effectExtent l="0" t="0" r="0" b="8890"/>
            <wp:docPr id="1927449635" name="Picture 2" descr="A graph of co vs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49635" name="Picture 2" descr="A graph of co vs d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29" cy="230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6C7F" w14:textId="6B3A8F27" w:rsidR="00EC2768" w:rsidRDefault="00661EFF" w:rsidP="00661EFF">
      <w:pPr>
        <w:pStyle w:val="Caption"/>
        <w:jc w:val="center"/>
      </w:pPr>
      <w:r>
        <w:t>Figure 9: Histograms Showing Distribution of Residuals for 2</w:t>
      </w:r>
      <w:r w:rsidR="00F05364">
        <w:t xml:space="preserve"> Models Considered</w:t>
      </w:r>
    </w:p>
    <w:p w14:paraId="094095CA" w14:textId="6DC0C9BD" w:rsidR="00EE22D0" w:rsidRDefault="00344347" w:rsidP="00AA2190">
      <w:r>
        <w:t>The be</w:t>
      </w:r>
      <w:r w:rsidR="0036790E">
        <w:t>tter</w:t>
      </w:r>
      <w:r>
        <w:t xml:space="preserve"> model is evidently,</w:t>
      </w:r>
      <w:r w:rsidR="0036790E">
        <w:t xml:space="preserve"> CO vs Day,</w:t>
      </w:r>
      <w:r>
        <w:t xml:space="preserve"> due to its</w:t>
      </w:r>
      <w:r w:rsidR="0036790E">
        <w:t xml:space="preserve"> larger </w:t>
      </w:r>
      <w:r w:rsidR="00EE22D0">
        <w:t xml:space="preserve">correlation coefficient, coefficient of determination, and lower sum of squared residuals albeit minute differences between the two models considered see Fig. </w:t>
      </w:r>
      <w:r w:rsidR="00F05364">
        <w:t>8</w:t>
      </w:r>
      <w:r w:rsidR="00EE22D0">
        <w:t xml:space="preserve"> above </w:t>
      </w:r>
      <w:r w:rsidR="00232F41">
        <w:t>where a bar chart comparing r, r</w:t>
      </w:r>
      <w:r w:rsidR="00232F41" w:rsidRPr="00232F41">
        <w:rPr>
          <w:vertAlign w:val="superscript"/>
        </w:rPr>
        <w:t>2</w:t>
      </w:r>
      <w:r w:rsidR="00232F41">
        <w:t>, and the ssr of both models is plot</w:t>
      </w:r>
      <w:r w:rsidR="00EE22D0">
        <w:t xml:space="preserve">. </w:t>
      </w:r>
    </w:p>
    <w:p w14:paraId="5C7340E7" w14:textId="3B2BED20" w:rsidR="006B51AD" w:rsidRDefault="006B51AD" w:rsidP="00AA2190">
      <w:r>
        <w:t xml:space="preserve">Assessing the normality of errors, both distributions are asymmetric but </w:t>
      </w:r>
      <w:r w:rsidR="00FF1CCE">
        <w:t>centred</w:t>
      </w:r>
      <w:r>
        <w:t xml:space="preserve"> close to bin -0.1 with the sqrtDay residuals having higher variance evident by the wider peak on the kernel density estimate line diagram.</w:t>
      </w:r>
    </w:p>
    <w:p w14:paraId="49A6DF94" w14:textId="77777777" w:rsidR="00FF1CCE" w:rsidRDefault="00FF1CCE" w:rsidP="00FF1CCE">
      <w:r>
        <w:t xml:space="preserve">For the 3 Regression Models CO vs T, RH, and Day, CO vs T, RH, and </w:t>
      </w:r>
      <w:proofErr w:type="spellStart"/>
      <w:r>
        <w:t>sqrtDay</w:t>
      </w:r>
      <w:proofErr w:type="spellEnd"/>
      <w:r>
        <w:t>, and CO versus T, RH, the corresponding coefficients of determination, were r</w:t>
      </w:r>
      <w:r w:rsidRPr="00DF63F6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 = XX, XX, and XX respectively, these were plot on a bar chart; see Fig. XX.</w:t>
      </w:r>
    </w:p>
    <w:p w14:paraId="71A7B3BA" w14:textId="77777777" w:rsidR="00FF1CCE" w:rsidRDefault="00FF1CCE" w:rsidP="00AA2190"/>
    <w:p w14:paraId="0F747A1A" w14:textId="2D254123" w:rsidR="00DF63F6" w:rsidRDefault="00EE22D0" w:rsidP="00AA2190">
      <w:r>
        <w:t>An even</w:t>
      </w:r>
      <w:r w:rsidR="00344347">
        <w:t xml:space="preserve"> better model could be obtained by using polynomial regression as outlined in the modelling section of the report</w:t>
      </w:r>
      <w:r w:rsidR="00F4257F">
        <w:t xml:space="preserve">. Slightly outside the scope of the coursework, the models can be ranked using </w:t>
      </w:r>
      <w:r w:rsidR="001166BC">
        <w:t>AICs, and BICs (</w:t>
      </w:r>
      <w:r w:rsidR="00C31E0B" w:rsidRPr="00C31E0B">
        <w:t xml:space="preserve">Akaike </w:t>
      </w:r>
      <w:r w:rsidR="00C31E0B">
        <w:t>I</w:t>
      </w:r>
      <w:r w:rsidR="00C31E0B" w:rsidRPr="00C31E0B">
        <w:t>nformation criterion</w:t>
      </w:r>
      <w:r w:rsidR="00C31E0B">
        <w:t>, and Bayesian Information Criterion</w:t>
      </w:r>
      <w:r w:rsidR="001166BC">
        <w:t>)</w:t>
      </w:r>
      <w:r w:rsidR="00C31E0B">
        <w:t xml:space="preserve"> to rank the models </w:t>
      </w:r>
      <w:r w:rsidR="000154FF">
        <w:t>more explicitly, only making improvements to the best models from each polynomial level.</w:t>
      </w:r>
    </w:p>
    <w:p w14:paraId="7F6B117D" w14:textId="77777777" w:rsidR="005E5645" w:rsidRPr="005E5645" w:rsidRDefault="005E5645" w:rsidP="006C54E5"/>
    <w:sectPr w:rsidR="005E5645" w:rsidRPr="005E5645" w:rsidSect="00AE4110">
      <w:foot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82094" w14:textId="77777777" w:rsidR="00AE4110" w:rsidRDefault="00AE4110" w:rsidP="006C54E5">
      <w:r>
        <w:separator/>
      </w:r>
    </w:p>
  </w:endnote>
  <w:endnote w:type="continuationSeparator" w:id="0">
    <w:p w14:paraId="46FDA353" w14:textId="77777777" w:rsidR="00AE4110" w:rsidRDefault="00AE4110" w:rsidP="006C5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27C6" w14:textId="65840227" w:rsidR="00050C54" w:rsidRDefault="00050C54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D7E8B" w14:textId="77777777" w:rsidR="00AE4110" w:rsidRDefault="00AE4110" w:rsidP="006C54E5">
      <w:r>
        <w:separator/>
      </w:r>
    </w:p>
  </w:footnote>
  <w:footnote w:type="continuationSeparator" w:id="0">
    <w:p w14:paraId="419564DE" w14:textId="77777777" w:rsidR="00AE4110" w:rsidRDefault="00AE4110" w:rsidP="006C54E5">
      <w:r>
        <w:continuationSeparator/>
      </w:r>
    </w:p>
  </w:footnote>
  <w:footnote w:id="1">
    <w:p w14:paraId="08B7E61B" w14:textId="6188DB64" w:rsidR="00FF56B6" w:rsidRDefault="00000000" w:rsidP="006C54E5">
      <w:pPr>
        <w:pStyle w:val="FootnoteText"/>
      </w:pPr>
      <w:hyperlink r:id="rId1" w:history="1">
        <w:r w:rsidR="00FF56B6" w:rsidRPr="00036A60">
          <w:rPr>
            <w:rStyle w:val="Hyperlink"/>
            <w:vertAlign w:val="superscript"/>
          </w:rPr>
          <w:footnoteRef/>
        </w:r>
        <w:r w:rsidR="00FF56B6" w:rsidRPr="00036A60">
          <w:rPr>
            <w:rStyle w:val="Hyperlink"/>
          </w:rPr>
          <w:t xml:space="preserve"> European </w:t>
        </w:r>
        <w:r w:rsidR="003E0BB3" w:rsidRPr="00036A60">
          <w:rPr>
            <w:rStyle w:val="Hyperlink"/>
          </w:rPr>
          <w:t>Environment Agency</w:t>
        </w:r>
      </w:hyperlink>
    </w:p>
    <w:p w14:paraId="35E5D504" w14:textId="5A5566D0" w:rsidR="00270C71" w:rsidRDefault="00270C71" w:rsidP="006C54E5">
      <w:pPr>
        <w:pStyle w:val="FootnoteText"/>
      </w:pPr>
    </w:p>
  </w:footnote>
  <w:footnote w:id="2">
    <w:p w14:paraId="7FE1B1E6" w14:textId="73041B91" w:rsidR="00036A60" w:rsidRDefault="00000000">
      <w:pPr>
        <w:pStyle w:val="FootnoteText"/>
      </w:pPr>
      <w:hyperlink r:id="rId2" w:history="1">
        <w:r w:rsidR="00036A60" w:rsidRPr="00CF2727">
          <w:rPr>
            <w:rStyle w:val="Hyperlink"/>
            <w:vertAlign w:val="superscript"/>
          </w:rPr>
          <w:footnoteRef/>
        </w:r>
        <w:r w:rsidR="00036A60" w:rsidRPr="00CF2727">
          <w:rPr>
            <w:rStyle w:val="Hyperlink"/>
          </w:rPr>
          <w:t xml:space="preserve"> </w:t>
        </w:r>
        <w:r w:rsidR="00A4770C" w:rsidRPr="00CF2727">
          <w:rPr>
            <w:rStyle w:val="Hyperlink"/>
          </w:rPr>
          <w:t>CoolWeather.net</w:t>
        </w:r>
      </w:hyperlink>
    </w:p>
  </w:footnote>
  <w:footnote w:id="3">
    <w:p w14:paraId="47DC98A8" w14:textId="1A0E5787" w:rsidR="008E7213" w:rsidRDefault="008E7213">
      <w:pPr>
        <w:pStyle w:val="FootnoteText"/>
      </w:pPr>
      <w:r>
        <w:rPr>
          <w:rStyle w:val="FootnoteReference"/>
        </w:rPr>
        <w:footnoteRef/>
      </w:r>
      <w:r>
        <w:t xml:space="preserve"> Note that the frequency on the bottom part of the chart is not actually representative of real values, they are negative to allow the chart construction; negative frequencies are not possible in reality.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620DD"/>
    <w:multiLevelType w:val="hybridMultilevel"/>
    <w:tmpl w:val="1ED88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4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B8"/>
    <w:rsid w:val="000004F8"/>
    <w:rsid w:val="00001B16"/>
    <w:rsid w:val="000022A6"/>
    <w:rsid w:val="00002498"/>
    <w:rsid w:val="000024F7"/>
    <w:rsid w:val="00002BE4"/>
    <w:rsid w:val="000154FF"/>
    <w:rsid w:val="00017C4B"/>
    <w:rsid w:val="00034E11"/>
    <w:rsid w:val="00036A60"/>
    <w:rsid w:val="00036D8C"/>
    <w:rsid w:val="000447C3"/>
    <w:rsid w:val="00050147"/>
    <w:rsid w:val="00050C54"/>
    <w:rsid w:val="000529CF"/>
    <w:rsid w:val="000703C2"/>
    <w:rsid w:val="00072179"/>
    <w:rsid w:val="00090C3D"/>
    <w:rsid w:val="000957F9"/>
    <w:rsid w:val="000C2532"/>
    <w:rsid w:val="000D4479"/>
    <w:rsid w:val="000F0B4E"/>
    <w:rsid w:val="000F0F34"/>
    <w:rsid w:val="001166BC"/>
    <w:rsid w:val="001173D7"/>
    <w:rsid w:val="001256AC"/>
    <w:rsid w:val="00150472"/>
    <w:rsid w:val="00160D63"/>
    <w:rsid w:val="00161347"/>
    <w:rsid w:val="00161B50"/>
    <w:rsid w:val="00165008"/>
    <w:rsid w:val="00195440"/>
    <w:rsid w:val="001B1B89"/>
    <w:rsid w:val="002008E4"/>
    <w:rsid w:val="00213F5D"/>
    <w:rsid w:val="00217C16"/>
    <w:rsid w:val="00226274"/>
    <w:rsid w:val="00232F41"/>
    <w:rsid w:val="0025654D"/>
    <w:rsid w:val="00270C71"/>
    <w:rsid w:val="002821D9"/>
    <w:rsid w:val="002D42BC"/>
    <w:rsid w:val="002D57B8"/>
    <w:rsid w:val="002F1455"/>
    <w:rsid w:val="00302BB4"/>
    <w:rsid w:val="00323DA2"/>
    <w:rsid w:val="003332E3"/>
    <w:rsid w:val="00344347"/>
    <w:rsid w:val="003510D5"/>
    <w:rsid w:val="0036790E"/>
    <w:rsid w:val="00373002"/>
    <w:rsid w:val="003A16A1"/>
    <w:rsid w:val="003A6C80"/>
    <w:rsid w:val="003C1035"/>
    <w:rsid w:val="003C6CCE"/>
    <w:rsid w:val="003E0BB3"/>
    <w:rsid w:val="004022B4"/>
    <w:rsid w:val="0040663A"/>
    <w:rsid w:val="0046788A"/>
    <w:rsid w:val="004846EF"/>
    <w:rsid w:val="0049290B"/>
    <w:rsid w:val="004B42D2"/>
    <w:rsid w:val="004C7DAD"/>
    <w:rsid w:val="004D54CB"/>
    <w:rsid w:val="004D7E98"/>
    <w:rsid w:val="004E6C3F"/>
    <w:rsid w:val="004F4C70"/>
    <w:rsid w:val="00501CD9"/>
    <w:rsid w:val="00502291"/>
    <w:rsid w:val="00510477"/>
    <w:rsid w:val="005439E9"/>
    <w:rsid w:val="00557DFB"/>
    <w:rsid w:val="00567D29"/>
    <w:rsid w:val="005B1068"/>
    <w:rsid w:val="005B2049"/>
    <w:rsid w:val="005C3096"/>
    <w:rsid w:val="005E3987"/>
    <w:rsid w:val="005E5645"/>
    <w:rsid w:val="00603AF0"/>
    <w:rsid w:val="00607001"/>
    <w:rsid w:val="006144E9"/>
    <w:rsid w:val="00642E7C"/>
    <w:rsid w:val="00655E62"/>
    <w:rsid w:val="00661EFF"/>
    <w:rsid w:val="00696E9D"/>
    <w:rsid w:val="006A4666"/>
    <w:rsid w:val="006B51AD"/>
    <w:rsid w:val="006B7502"/>
    <w:rsid w:val="006C54E5"/>
    <w:rsid w:val="006D0702"/>
    <w:rsid w:val="006D080C"/>
    <w:rsid w:val="006E5868"/>
    <w:rsid w:val="006F2E3A"/>
    <w:rsid w:val="006F5CB2"/>
    <w:rsid w:val="0070720C"/>
    <w:rsid w:val="00710898"/>
    <w:rsid w:val="00724753"/>
    <w:rsid w:val="007447E0"/>
    <w:rsid w:val="00757731"/>
    <w:rsid w:val="007A2CBF"/>
    <w:rsid w:val="007C7511"/>
    <w:rsid w:val="007D43B8"/>
    <w:rsid w:val="007F30D6"/>
    <w:rsid w:val="008443FC"/>
    <w:rsid w:val="008522A3"/>
    <w:rsid w:val="00862A03"/>
    <w:rsid w:val="0087043B"/>
    <w:rsid w:val="00874DEF"/>
    <w:rsid w:val="008769DC"/>
    <w:rsid w:val="00891260"/>
    <w:rsid w:val="008D5945"/>
    <w:rsid w:val="008E7213"/>
    <w:rsid w:val="009012DB"/>
    <w:rsid w:val="00913A29"/>
    <w:rsid w:val="00923470"/>
    <w:rsid w:val="00927529"/>
    <w:rsid w:val="009660B8"/>
    <w:rsid w:val="00973654"/>
    <w:rsid w:val="00985F9B"/>
    <w:rsid w:val="009A1EAB"/>
    <w:rsid w:val="009C2D16"/>
    <w:rsid w:val="009C62A9"/>
    <w:rsid w:val="009E3AAB"/>
    <w:rsid w:val="00A01415"/>
    <w:rsid w:val="00A13EB3"/>
    <w:rsid w:val="00A30AEA"/>
    <w:rsid w:val="00A37AAD"/>
    <w:rsid w:val="00A4323C"/>
    <w:rsid w:val="00A47447"/>
    <w:rsid w:val="00A4770C"/>
    <w:rsid w:val="00A50585"/>
    <w:rsid w:val="00A64E0F"/>
    <w:rsid w:val="00A91A33"/>
    <w:rsid w:val="00AA2190"/>
    <w:rsid w:val="00AB1E7F"/>
    <w:rsid w:val="00AB7B45"/>
    <w:rsid w:val="00AC5BAC"/>
    <w:rsid w:val="00AE2E8F"/>
    <w:rsid w:val="00AE4110"/>
    <w:rsid w:val="00AE7DCE"/>
    <w:rsid w:val="00B33416"/>
    <w:rsid w:val="00B37846"/>
    <w:rsid w:val="00B46880"/>
    <w:rsid w:val="00B53316"/>
    <w:rsid w:val="00B57EAF"/>
    <w:rsid w:val="00BA116C"/>
    <w:rsid w:val="00BC7DDE"/>
    <w:rsid w:val="00BF3870"/>
    <w:rsid w:val="00C03773"/>
    <w:rsid w:val="00C045BD"/>
    <w:rsid w:val="00C07817"/>
    <w:rsid w:val="00C124C7"/>
    <w:rsid w:val="00C2205A"/>
    <w:rsid w:val="00C276A8"/>
    <w:rsid w:val="00C31E0B"/>
    <w:rsid w:val="00C33EA5"/>
    <w:rsid w:val="00C91D5C"/>
    <w:rsid w:val="00C979C0"/>
    <w:rsid w:val="00CA146F"/>
    <w:rsid w:val="00CC0B4B"/>
    <w:rsid w:val="00CD1569"/>
    <w:rsid w:val="00CF2727"/>
    <w:rsid w:val="00CF7B19"/>
    <w:rsid w:val="00D04A31"/>
    <w:rsid w:val="00D2560F"/>
    <w:rsid w:val="00D2583C"/>
    <w:rsid w:val="00D27A8E"/>
    <w:rsid w:val="00D63C0F"/>
    <w:rsid w:val="00D71F47"/>
    <w:rsid w:val="00D76EED"/>
    <w:rsid w:val="00D7718D"/>
    <w:rsid w:val="00D80B24"/>
    <w:rsid w:val="00D82884"/>
    <w:rsid w:val="00DA04DC"/>
    <w:rsid w:val="00DF63F6"/>
    <w:rsid w:val="00E21912"/>
    <w:rsid w:val="00E23E0B"/>
    <w:rsid w:val="00E41F15"/>
    <w:rsid w:val="00E672D8"/>
    <w:rsid w:val="00E75859"/>
    <w:rsid w:val="00E83141"/>
    <w:rsid w:val="00E95F62"/>
    <w:rsid w:val="00EA66AE"/>
    <w:rsid w:val="00EA66BB"/>
    <w:rsid w:val="00EC2768"/>
    <w:rsid w:val="00EE22D0"/>
    <w:rsid w:val="00EF08B7"/>
    <w:rsid w:val="00F05364"/>
    <w:rsid w:val="00F1071B"/>
    <w:rsid w:val="00F219BC"/>
    <w:rsid w:val="00F3292D"/>
    <w:rsid w:val="00F336CB"/>
    <w:rsid w:val="00F41D0F"/>
    <w:rsid w:val="00F4257F"/>
    <w:rsid w:val="00F46F64"/>
    <w:rsid w:val="00F5206F"/>
    <w:rsid w:val="00F5614B"/>
    <w:rsid w:val="00F770F9"/>
    <w:rsid w:val="00FF1CCE"/>
    <w:rsid w:val="00FF56B6"/>
    <w:rsid w:val="00FF58AA"/>
    <w:rsid w:val="00FF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8773"/>
  <w15:chartTrackingRefBased/>
  <w15:docId w15:val="{6D9B1B91-89CA-4151-8AA2-7F79418A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4E5"/>
    <w:rPr>
      <w:rFonts w:ascii="Calibri" w:hAnsi="Calibri" w:cs="Calibr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4E5"/>
    <w:pPr>
      <w:keepNext/>
      <w:keepLines/>
      <w:spacing w:before="360" w:after="80"/>
      <w:outlineLvl w:val="0"/>
    </w:pPr>
    <w:rPr>
      <w:rFonts w:eastAsiaTheme="majorEastAsia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4E5"/>
    <w:rPr>
      <w:rFonts w:ascii="Calibri" w:eastAsiaTheme="majorEastAsia" w:hAnsi="Calibri" w:cs="Calibri"/>
      <w:b/>
      <w:bCs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7B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E564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FF56B6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FF56B6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56B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36A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A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2727"/>
    <w:rPr>
      <w:color w:val="96607D" w:themeColor="followedHyperlink"/>
      <w:u w:val="single"/>
    </w:rPr>
  </w:style>
  <w:style w:type="character" w:customStyle="1" w:styleId="code-bold">
    <w:name w:val="code-bold"/>
    <w:basedOn w:val="DefaultParagraphFont"/>
    <w:rsid w:val="00002498"/>
  </w:style>
  <w:style w:type="paragraph" w:styleId="TOC1">
    <w:name w:val="toc 1"/>
    <w:basedOn w:val="Normal"/>
    <w:next w:val="Normal"/>
    <w:autoRedefine/>
    <w:uiPriority w:val="39"/>
    <w:unhideWhenUsed/>
    <w:rsid w:val="00050C54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050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C54"/>
    <w:rPr>
      <w:rFonts w:ascii="Calibri" w:hAnsi="Calibri" w:cs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50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C54"/>
    <w:rPr>
      <w:rFonts w:ascii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oolweather.net/extremes/european1.htm" TargetMode="External"/><Relationship Id="rId1" Type="http://schemas.openxmlformats.org/officeDocument/2006/relationships/hyperlink" Target="https://www.eea.europa.eu/en/analysis/indicators/global-and-european-tempera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5FC42-6984-4487-8FCA-869715F9F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1686</Words>
  <Characters>8469</Characters>
  <Application>Microsoft Office Word</Application>
  <DocSecurity>0</DocSecurity>
  <Lines>141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Adeniyi, Ayodeji O</dc:creator>
  <cp:keywords/>
  <dc:description/>
  <cp:lastModifiedBy>Adeniyi, Ayodeji O</cp:lastModifiedBy>
  <cp:revision>195</cp:revision>
  <cp:lastPrinted>2024-03-08T11:40:00Z</cp:lastPrinted>
  <dcterms:created xsi:type="dcterms:W3CDTF">2024-03-08T00:46:00Z</dcterms:created>
  <dcterms:modified xsi:type="dcterms:W3CDTF">2024-03-10T14:59:00Z</dcterms:modified>
</cp:coreProperties>
</file>