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6F2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t9iplhofejg" w:id="0"/>
      <w:bookmarkEnd w:id="0"/>
      <w:r w:rsidDel="00000000" w:rsidR="00000000" w:rsidRPr="00000000">
        <w:rPr>
          <w:rtl w:val="0"/>
        </w:rPr>
        <w:t xml:space="preserve">Ethnoir V1 Website — Final Production Reconciliation &amp; Developer Implementation Notes — September 2026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rkrqy330l91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memo records only the final production actions and verifications arising from the reconciled governing documents. It does not replace the Website Strategy &amp; Information Architecture, Approved V1 Copy, Visual &amp; Build Specification, VRL Public Case Study or Build &amp; Launch Register.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ibchq3xbm56n" w:id="2"/>
      <w:bookmarkEnd w:id="2"/>
      <w:r w:rsidDel="00000000" w:rsidR="00000000" w:rsidRPr="00000000">
        <w:rPr>
          <w:rtl w:val="0"/>
        </w:rPr>
        <w:t xml:space="preserve">A. Changes to implement now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Implement now — Preserve the approved primary navigation. Venture Readiness Lab remains a child page under Our Work; do not add it to primary navigation.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now — Confirm the approved internal routes: Home → Our Work → VRL case; For Organizations → VRL case where the approved copy calls for it; Our Work preview → full VRL case; VRL case → For Organizations and Venture Readiness Check-In; relevant pages → Contact.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Implement now — Add the Deana Marshall testimonial module to the full VRL case after Participant-reported experience and before Where the pilot fell short—and what that changed. Use the exact approved excerpt and attribution in section 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 now — On the Check-In explainer page, route Start the Check-In to https://tally.so/r/XxEDD4. Home and primary navigation must continue to route to the explainer page, not directly to Tally.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Implement now — Use the cleaner prominent VRL fact strip: 6 weeks | 6 active founders reached Week 6 | 5 independently reviewed and confirmed deliverables. Retain 32 of 36 attendance deeper in the case narrative.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 change — Preserve the approved quiet editorial system, Source Serif 4 + Public Sans typography, approved wordmark, Parchment / Tidal Ink / Deep Teal palette and restrained evidence presentation.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ajwxnr6bnd0" w:id="3"/>
      <w:bookmarkEnd w:id="3"/>
      <w:r w:rsidDel="00000000" w:rsidR="00000000" w:rsidRPr="00000000">
        <w:rPr>
          <w:rtl w:val="0"/>
        </w:rPr>
        <w:t xml:space="preserve">B. Confirmed decisions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change — Positioning, audience architecture, sitemap, primary navigation, Check-In positioning and evidence boundaries remain approved and unchanged.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 now — The build uses the confirmed custom-coded Ore/Moyocode implementation and agreed Founder-controlled hosting, domain and handoff arrangement. The earlier Framer recommendation is superseded; Framer is not a production dependency unless separately approved.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change — The Founder-approved V1 wordmark and supplied production files remain the only approved website wordmark.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Implement now — Current Tally destination: https://tally.so/r/XxEDD4.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Implement now — Deana Marshall / Marshall Arts Media Group testimonial permission is confirmed by email for attributed public use, subject to faithful excerpt selection.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change — Direct Tally links used in controlled research invitations are a separate testing route and do not change the public website architecture.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p8zsoiq0iv6f" w:id="4"/>
      <w:bookmarkEnd w:id="4"/>
      <w:r w:rsidDel="00000000" w:rsidR="00000000" w:rsidRPr="00000000">
        <w:rPr>
          <w:rtl w:val="0"/>
        </w:rPr>
        <w:t xml:space="preserve">C. Remaining launch dependencies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 before launch — Complete Check-In handoff QA: website CTA → Check-In explainer page → Tally → submission → Airtable/scoring → Make routing → MailerLite result/output and email delivery. Verify on desktop and mobile. Technical success is not evidence of diagnostic validity.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Verify before launch — Confirm production contact-form submission, validation, failure state, confirmation state, monitored delivery, spam handling and fallback.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Verify before launch — Confirm support and privacy/data-use wording accurately reflects Tally, Airtable, Make, MailerLite, contact-form processing, hosting, analytics and any other implemented processor. Obtain appropriate review without inventing legal conclusions.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Verify before launch — Confirm the approved NC IDEA acknowledgment and any grant-required logo placement. Do not imply endorsement.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Verify before launch — Confirm page-specific titles, descriptions, Open Graph/social metadata, canonical URLs, sitemap, robots, production indexing, HTTPS/preferred domain, redirects/404 behavior and broken links.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Verify before launch — Complete keyboard, focus, semantic-heading, form-label, alt-text, contrast, reduced-motion and responsive QA against the WCAG 2.2 AA target.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Deferred — Documentary VRL imagery. Launch without it unless participant, photographer, identifier and branding/rights clearance is complete.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Deferred — Analytics if the provider, account, events and consent posture have not been explicitly decided.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l6r3c9owbhr7" w:id="5"/>
      <w:bookmarkEnd w:id="5"/>
      <w:r w:rsidDel="00000000" w:rsidR="00000000" w:rsidRPr="00000000">
        <w:rPr>
          <w:rtl w:val="0"/>
        </w:rPr>
        <w:t xml:space="preserve">D. VRL implementation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change — Full case remains nested under Our Work and governed by Venture Readiness Lab — Public Case Study.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Implement now — Our Work preview CTA: Read the full case study, or the already approved equivalent, linking to the full child page.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Implement now — Participant perspective module: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“This accountability has really helped me prepare. … the accountability from participating in this program is the reason I have training now.”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 Deana Marshall, Marshall Arts Media Group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Participant-reported experience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Implement now — Visually distinguish the testimonial from verified implementation facts, independently reviewed outputs, Ethnoir interpretation and downstream outcomes. Do not use the additional-clients statement as evidence that VRL caused client growth.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change — Preserve the evidence boundary. The case may establish delivery, participation, attendance, reviewed outputs, participant-reported experience and implementation learning. It may not claim effectiveness, causality, sustained capability, improved decision quality, revenue or capital outcomes, diagnostic validity, scalability, institutional outcomes or impact.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Verify before launch — Related paths must point to For Organizations and the corporate Venture Readiness Check-In explainer page without implying that VRL validated the Check-In or produced an institutional outcome.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g1ptxittt1fw" w:id="6"/>
      <w:bookmarkEnd w:id="6"/>
      <w:r w:rsidDel="00000000" w:rsidR="00000000" w:rsidRPr="00000000">
        <w:rPr>
          <w:rtl w:val="0"/>
        </w:rPr>
        <w:t xml:space="preserve">E. Check-In implementation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change — Public route: Ethnoir website → Venture Readiness Check-In explainer page → Start the Check-In → Tally.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Implement now — Use https://tally.so/r/XxEDD4 only for the Start the Check-In handoff.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change — Keep the explainer content covering purpose, intended use, potential fit, areas considered, what the user receives, limitations, privacy/data use, support and external handoff.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change — Do not alter Check-In questions, scoring, result logic, Tally, Airtable, Make or MailerLite as part of the website build.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Verify before launch — Test the complete workflow and ensure analytics do not capture sensitive form information.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sjpl9lqtd2ev" w:id="7"/>
      <w:bookmarkEnd w:id="7"/>
      <w:r w:rsidDel="00000000" w:rsidR="00000000" w:rsidRPr="00000000">
        <w:rPr>
          <w:rtl w:val="0"/>
        </w:rPr>
        <w:t xml:space="preserve">F. Final QA before launch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Verify before launch — Navigation and internal links follow the approved routes and contain no placeholder or staging destinations.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Verify before launch — Essential content is available without animation; reduced-motion behavior works.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Verify before launch — Evidence states remain distinguishable without color alone and in screen-reader order.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Verify before launch — Mobile layouts preserve hierarchy, readable line lengths, usable buttons/forms and appropriate evidence-strip behavior.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Verify before launch — Staging remains noindex. Production removes staging restrictions and uses correct canonical, robots and sitemap settings.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Verify before launch — Founder/admin ownership, code/site files, hosting access, domain control, credentials, backup/rollback and maintenance handoff are documented.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8qno0mr8qy3m" w:id="8"/>
      <w:bookmarkEnd w:id="8"/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Website Strategy &amp; Information Architecture — added final routing clarification; no architecture or positioning change.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Approved V1 Copy — recorded the verified Tally destination, added the cleared Deana participant-perspective module and simplified the prominent VRL fact strip while retaining attendance evidence deeper in the case.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VRL Public Case Study — added the exact cleared testimonial and adopted the cleaner prominent 6 / 6 / 5 fact strip; no claim boundary changed.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Visual &amp; Build Specification — marked the Framer recommendation as superseded, recorded the custom-coded implementation approach, Tally destination and Deana-specific permission exception; general clearance rules remain.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Build &amp; Launch Register — updated platform, Check-In destination and testimonial status; retained forms, workflow, privacy, analytics, recognition and production QA as dependencies.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Publication Verification Register — recorded Deana’s permission, exact excerpt, attribution and evidence boundary; no other participant asset was cleared.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