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82B49"/>
          <w:sz w:val="34"/>
        </w:rPr>
        <w:t>AYOMIDE AJIBOLA</w:t>
      </w:r>
    </w:p>
    <w:p>
      <w:pPr>
        <w:spacing w:before="0" w:after="20"/>
        <w:jc w:val="center"/>
      </w:pPr>
      <w:r>
        <w:rPr>
          <w:rFonts w:ascii="Calibri" w:hAnsi="Calibri"/>
          <w:color w:val="323232"/>
          <w:sz w:val="19"/>
        </w:rPr>
        <w:t>Irvington, NJ | (443) 561-7501 | aajibolajabell@gmail.com | Authorized to work in the U.S.</w:t>
      </w:r>
    </w:p>
    <w:p>
      <w:pPr>
        <w:spacing w:before="0" w:after="120"/>
        <w:jc w:val="center"/>
      </w:pPr>
      <w:r>
        <w:rPr>
          <w:rFonts w:ascii="Calibri" w:hAnsi="Calibri"/>
          <w:color w:val="3C3C3C"/>
          <w:sz w:val="19"/>
        </w:rPr>
        <w:t>LinkedIn: linkedin.com/in/ayomide-a-70396319b | GitHub: github.com/ayomide-ajibola | GPA: 3.5 / 4.0</w:t>
      </w:r>
    </w:p>
    <w:p>
      <w:pPr>
        <w:keepNext/>
        <w:spacing w:before="120" w:after="60"/>
        <w:pBdr>
          <w:bottom w:val="single" w:sz="8" w:space="1" w:color="182B49"/>
        </w:pBdr>
      </w:pPr>
      <w:r>
        <w:rPr>
          <w:rFonts w:ascii="Calibri" w:hAnsi="Calibri"/>
          <w:b/>
          <w:color w:val="182B49"/>
          <w:sz w:val="22"/>
        </w:rPr>
        <w:t>PROFESSIONAL SUMMARY</w:t>
      </w:r>
    </w:p>
    <w:p>
      <w:pPr>
        <w:spacing w:before="20" w:after="40" w:line="264" w:lineRule="auto"/>
      </w:pPr>
      <w:r>
        <w:rPr>
          <w:rFonts w:ascii="Calibri" w:hAnsi="Calibri"/>
          <w:sz w:val="19"/>
        </w:rPr>
        <w:t>Computational Biologist and M.S. Candidate in Computational Science &amp; Engineering with proven expertise in Next-Generation Sequencing (NGS) data pipelines, sequence alignment, genomic quality control, and biomedical signal modeling. Proficient in Linux/WSL environments utilizing FastQC, fastp, Trimmomatic, BWA-MEM, Bowtie2, Samtools, and IGV, alongside Python (BioPython, NumPy, Pandas) and automated Bash workflows. Experienced handling 19.6M+ paired-end sequencing reads, architecting reproducible bioinformatics workflows with MD5 checksum verification, and applying machine learning to complex biological datasets.</w:t>
      </w:r>
    </w:p>
    <w:p>
      <w:pPr>
        <w:keepNext/>
        <w:spacing w:before="120" w:after="60"/>
        <w:pBdr>
          <w:bottom w:val="single" w:sz="8" w:space="1" w:color="182B49"/>
        </w:pBdr>
      </w:pPr>
      <w:r>
        <w:rPr>
          <w:rFonts w:ascii="Calibri" w:hAnsi="Calibri"/>
          <w:b/>
          <w:color w:val="182B49"/>
          <w:sz w:val="22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Master of Science in Computational Science &amp; Engineering</w:t>
            </w:r>
            <w:r>
              <w:rPr>
                <w:rFonts w:ascii="Calibri" w:hAnsi="Calibri"/>
                <w:i/>
                <w:sz w:val="20"/>
              </w:rPr>
              <w:t xml:space="preserve"> | Kean University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Union, NJ | Expected May 2026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GPA: 3.5/4.0 | Focus: Computational Biology, High-Performance Computing, Bioinformatics Algorithms, Machine Learning &amp; Mathematical Modeling.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Master's Thesis: "Using LLMs and Machine Learning to Auto-Label and Summarize Wearable Sensing Logs for Continuous Health Monitoring" (Advisor: Dr. Bin Hu).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Bachelor of Science in Computational Science &amp; Engineering</w:t>
            </w:r>
            <w:r>
              <w:rPr>
                <w:rFonts w:ascii="Calibri" w:hAnsi="Calibri"/>
                <w:i/>
                <w:sz w:val="20"/>
              </w:rPr>
              <w:t xml:space="preserve"> | Kean University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Union, NJ | May 2025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Relevant Coursework: Advanced Research in Data Science, Data Structures &amp; Algorithms, Artificial Intelligence, Database Management Systems, Differential Equations.</w:t>
      </w:r>
    </w:p>
    <w:p>
      <w:pPr>
        <w:keepNext/>
        <w:spacing w:before="120" w:after="60"/>
        <w:pBdr>
          <w:bottom w:val="single" w:sz="8" w:space="1" w:color="182B49"/>
        </w:pBdr>
      </w:pPr>
      <w:r>
        <w:rPr>
          <w:rFonts w:ascii="Calibri" w:hAnsi="Calibri"/>
          <w:b/>
          <w:color w:val="182B49"/>
          <w:sz w:val="22"/>
        </w:rPr>
        <w:t>TECHNICAL SKILLS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Bioinformatics &amp; NGS Tools: FastQC, fastp, Trimmomatic, MultiQC, BWA-MEM, Bowtie2, Samtools (fixmate, sort, markdup, index), IGV (Integrative Genomics Viewer), FASTX-Toolkit.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Genomic Formats &amp; Databases: FASTQ, FASTA, SAM, BAM, BAI, VCF, GTF, NCBI SRA / E-utilities, Ensembl, Reference Genomes (E. coli K-12, Human GRCh38).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Languages &amp; Computation: Python (BioPython, Pandas, NumPy, SciPy, Matplotlib), Bash/Shell Scripting, R, MATLAB, SQL (PostgreSQL, MySQL), C/C++.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Developer Tools &amp; Environment: Linux/Ubuntu (WSL), High-Performance Computing (HPC), Git, GitHub Actions, Docker basics, Automated Manifests &amp; MD5 Checksums.</w:t>
      </w:r>
    </w:p>
    <w:p>
      <w:pPr>
        <w:keepNext/>
        <w:spacing w:before="120" w:after="60"/>
        <w:pBdr>
          <w:bottom w:val="single" w:sz="8" w:space="1" w:color="182B49"/>
        </w:pBdr>
      </w:pPr>
      <w:r>
        <w:rPr>
          <w:rFonts w:ascii="Calibri" w:hAnsi="Calibri"/>
          <w:b/>
          <w:color w:val="182B49"/>
          <w:sz w:val="22"/>
        </w:rPr>
        <w:t>BIOINFORMATICS &amp; COMPUTATIONAL BIOLOGY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NGS Read Preprocessing, Quality Control &amp; Trimming Pipeline</w:t>
            </w:r>
            <w:r>
              <w:rPr>
                <w:rFonts w:ascii="Calibri" w:hAnsi="Calibri"/>
                <w:i/>
                <w:sz w:val="20"/>
              </w:rPr>
              <w:t xml:space="preserve"> | Bash, fastp, Trimmomatic, FastQC, MultiQC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2026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Engineered an automated end-to-end QC and filtering pipeline in Linux for 19.6M+ raw paired-end sequencing reads (NCBI SRA SRR2061397 &amp; SRR2061398).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Executed pre- and post-filtering diagnostic assessments using FastQC and fastp; trimmed 160k+ adapter-contaminated reads and removed 4.2M low-quality bases.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Elevated sequencing base fidelity from baseline to 98.8% Q20 and 95.1% Q30, while eliminating duplicate sequences down to a 3.3% duplicate rate.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Aggregated multi-sample metrics into interactive diagnostic dashboards via MultiQC and created an automated audit script generating directory manifests with MD5 checksum verification to guarantee 100% reproducible workflows.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Comparative Genome Alignment &amp; Sequence Processing Pipeline</w:t>
            </w:r>
            <w:r>
              <w:rPr>
                <w:rFonts w:ascii="Calibri" w:hAnsi="Calibri"/>
                <w:i/>
                <w:sz w:val="20"/>
              </w:rPr>
              <w:t xml:space="preserve"> | BWA-MEM, Bowtie2, Samtools, IGV, Bash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2026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Constructed high-throughput genomic alignment pipelines mapping Illumina paired-end reads (GA2) to the E. coli K-12 MG1655 reference genome.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Benchmarked indexing and alignment performance between BWA-MEM and Bowtie2, systematically converting multi-gigabyte SAM alignments into compressed, coordinate-sorted BAM files.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Utilized Samtools suite to execute mate-pair synchronization (fixmate), coordinate sorting, optical/PCR duplicate removal (markdup), and BAM index creation (bai).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Inspected genomic read depths, mapping quality scores (MAPQ), and structural variants across chromosome loci using the Integrative Genomics Viewer (IGV).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Biomedical Sensor Analytics &amp; Health Narrative Generation (Master's Thesis)</w:t>
            </w:r>
            <w:r>
              <w:rPr>
                <w:rFonts w:ascii="Calibri" w:hAnsi="Calibri"/>
                <w:i/>
                <w:sz w:val="20"/>
              </w:rPr>
              <w:t xml:space="preserve"> | PyTorch, scikit-learn, HuggingFace, Python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2025 – 2026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Processed 720k+ time-series IMU physiological records from clinical cohorts to classify activities and automate continuous health summaries.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Extracted sliding-window statistical features across 3-axis sensors and constructed an SVM + few-shot LLM ensemble achieving 96% diagnostic accuracy.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Automated clinical narrative summarization, transforming chronological sensor logs into human-readable behavioral reports for healthcare monitoring.</w:t>
      </w:r>
    </w:p>
    <w:p>
      <w:pPr>
        <w:keepNext/>
        <w:spacing w:before="120" w:after="60"/>
        <w:pBdr>
          <w:bottom w:val="single" w:sz="8" w:space="1" w:color="182B49"/>
        </w:pBdr>
      </w:pPr>
      <w:r>
        <w:rPr>
          <w:rFonts w:ascii="Calibri" w:hAnsi="Calibri"/>
          <w:b/>
          <w:color w:val="182B49"/>
          <w:sz w:val="22"/>
        </w:rPr>
        <w:t>PROFESSIONAL &amp; RESEARCH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Student Research Assistant</w:t>
            </w:r>
            <w:r>
              <w:rPr>
                <w:rFonts w:ascii="Calibri" w:hAnsi="Calibri"/>
                <w:i/>
                <w:sz w:val="20"/>
              </w:rPr>
              <w:t xml:space="preserve"> | Kean University (GSSRP)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Union, NJ | Jul 2024 – Aug 2024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Developed computational algorithms and scientific automation scripts in Python and MATLAB to model dynamical biological and physical systems.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Automated multidimensional data cleaning and transformation workflows, accelerating research throughput and establishing reproducible project documentation.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Software &amp; Systems Integration Intern</w:t>
            </w:r>
            <w:r>
              <w:rPr>
                <w:rFonts w:ascii="Calibri" w:hAnsi="Calibri"/>
                <w:i/>
                <w:sz w:val="20"/>
              </w:rPr>
              <w:t xml:space="preserve"> | ECI / KLA-Tencor Corporation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Totowa, NJ | Jun 2022 – Sep 2022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Configured and tested prototype inspection systems integrating physical hardware sensors with software data acquisition interfaces.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Authored Python and Bash test automation scripts, cutting manual QA data collection time by 30% and improving test reproducibility across Agile sprints.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Technical Support &amp; Peer Mentor</w:t>
            </w:r>
            <w:r>
              <w:rPr>
                <w:rFonts w:ascii="Calibri" w:hAnsi="Calibri"/>
                <w:i/>
                <w:sz w:val="20"/>
              </w:rPr>
              <w:t xml:space="preserve"> | College Steps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Union, NJ | Oct 2022 – May 2025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Provided technical troubleshooting, software configuration, and digital onboarding for 15+ students utilizing digital learning and analysis tools.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