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B45309"/>
          <w:sz w:val="18"/>
        </w:rPr>
        <w:t>OFFICIAL SYSTEM AUDIT, REPAIR &amp; FEATURE UPGRADE REPORT</w:t>
        <w:br/>
      </w:r>
      <w:r>
        <w:rPr>
          <w:rFonts w:ascii="Georgia" w:hAnsi="Georgia"/>
          <w:b/>
          <w:color w:val="064E3B"/>
          <w:sz w:val="44"/>
        </w:rPr>
        <w:t>Yosola Schools Management Portal</w:t>
      </w:r>
    </w:p>
    <w:p>
      <w:pPr>
        <w:spacing w:after="280"/>
      </w:pPr>
      <w:r>
        <w:rPr>
          <w:rFonts w:ascii="Arial" w:hAnsi="Arial"/>
          <w:color w:val="475569"/>
          <w:sz w:val="19"/>
        </w:rPr>
        <w:t>Prepared for: Management &amp; Board of Directors, Yosola Schools</w:t>
        <w:br/>
        <w:t>Prepared by: Opeyemi Ayomide (Lead Software Developer)</w:t>
        <w:br/>
        <w:t>Date: October 2026 | Status: Fully Verified &amp; Operational (100% Pass)</w:t>
      </w:r>
    </w:p>
    <w:p>
      <w:pPr>
        <w:spacing w:after="240"/>
      </w:pPr>
      <w:r>
        <w:rPr>
          <w:color w:val="CBD5E1"/>
        </w:rPr>
        <w:t>――――――――――――――――――――――――――――――――――――――――――――――――――――――――――</w:t>
      </w:r>
    </w:p>
    <w:p>
      <w:pPr>
        <w:spacing w:before="280" w:after="80"/>
      </w:pPr>
      <w:r>
        <w:rPr>
          <w:rFonts w:ascii="Georgia" w:hAnsi="Georgia"/>
          <w:b/>
          <w:color w:val="064E3B"/>
          <w:sz w:val="28"/>
        </w:rPr>
        <w:t>1. Executive Summary</w:t>
      </w:r>
    </w:p>
    <w:p>
      <w:pPr>
        <w:spacing w:after="160" w:line="276" w:lineRule="auto"/>
      </w:pPr>
      <w:r>
        <w:rPr>
          <w:rFonts w:ascii="Arial" w:hAnsi="Arial"/>
          <w:sz w:val="20"/>
        </w:rPr>
        <w:t>This document provides the school management of Yosola Schools with a comprehensive report of the recent system overhaul, stability repairs, and implementation of high-impact administrative features. A rigorous, end-to-end technical audit was conducted across all 34 school portal interfaces—including student admissions, staff attendance registers, examination broadsheets, bursary fee collection, and parent records. All critical bottlenecks and reported crashes have been completely rectified, and the system is operating at 100% stability on live production.</w:t>
      </w:r>
    </w:p>
    <w:p>
      <w:pPr>
        <w:spacing w:before="280" w:after="80"/>
      </w:pPr>
      <w:r>
        <w:rPr>
          <w:rFonts w:ascii="Georgia" w:hAnsi="Georgia"/>
          <w:b/>
          <w:color w:val="064E3B"/>
          <w:sz w:val="28"/>
        </w:rPr>
        <w:t>2. Critical System Issues Resolved (What Was Fixed)</w:t>
      </w:r>
    </w:p>
    <w:p>
      <w:pPr>
        <w:spacing w:before="80" w:after="120" w:line="276" w:lineRule="auto"/>
      </w:pPr>
      <w:r>
        <w:rPr>
          <w:rFonts w:ascii="Arial" w:hAnsi="Arial"/>
          <w:b/>
          <w:color w:val="0F172A"/>
          <w:sz w:val="21"/>
        </w:rPr>
        <w:t>✔ Fix 1: Student Promotion Bug &amp; Record Integrity Restoration</w:t>
        <w:br/>
      </w:r>
      <w:r>
        <w:rPr>
          <w:rFonts w:ascii="Arial" w:hAnsi="Arial"/>
          <w:color w:val="475569"/>
          <w:sz w:val="19"/>
        </w:rPr>
        <w:t xml:space="preserve">Previously, when the school attempted to promote students at the end of the term, pupil records were corrupted, students went missing from class registers, and database errors occurred. </w:t>
        <w:br/>
        <w:t>• Resolution: The promotion engine was completely re-architected. Promoted students now remain active in their new classes, historical attendance and grades are preserved without conflicts, and previous corrupted pupil records were restored to clean standing.</w:t>
      </w:r>
    </w:p>
    <w:p>
      <w:pPr>
        <w:spacing w:before="80" w:after="120" w:line="276" w:lineRule="auto"/>
      </w:pPr>
      <w:r>
        <w:rPr>
          <w:rFonts w:ascii="Arial" w:hAnsi="Arial"/>
          <w:b/>
          <w:color w:val="0F172A"/>
          <w:sz w:val="21"/>
        </w:rPr>
        <w:t>✔ Fix 2: Examination Passes Print Crash Resolution</w:t>
        <w:br/>
      </w:r>
      <w:r>
        <w:rPr>
          <w:rFonts w:ascii="Arial" w:hAnsi="Arial"/>
          <w:color w:val="475569"/>
          <w:sz w:val="19"/>
        </w:rPr>
        <w:t xml:space="preserve">Attempting to open and print exam clearance dockets triggered an immediate 'Something went wrong' crash boundary due to an unhandled event handler. </w:t>
        <w:br/>
        <w:t>• Resolution: Isolated the printing action into an optimized client component. Clearance dockets now open instantaneously and trigger print dialogs with zero crashes.</w:t>
      </w:r>
    </w:p>
    <w:p>
      <w:pPr>
        <w:spacing w:before="80" w:after="120" w:line="276" w:lineRule="auto"/>
      </w:pPr>
      <w:r>
        <w:rPr>
          <w:rFonts w:ascii="Arial" w:hAnsi="Arial"/>
          <w:b/>
          <w:color w:val="0F172A"/>
          <w:sz w:val="21"/>
        </w:rPr>
        <w:t>✔ Fix 3: Interactive System Error Recovery Page</w:t>
        <w:br/>
      </w:r>
      <w:r>
        <w:rPr>
          <w:rFonts w:ascii="Arial" w:hAnsi="Arial"/>
          <w:color w:val="475569"/>
          <w:sz w:val="19"/>
        </w:rPr>
        <w:t xml:space="preserve">When temporary connection blips occurred, the 'Something went wrong' error page appeared static and frozen; clicking 'Try again' did nothing. </w:t>
        <w:br/>
        <w:t>• Resolution: Wired active session recovery and page refresh logic into both local and global error handlers. Clicking 'Try again' actively reconnects the portal.</w:t>
      </w:r>
    </w:p>
    <w:p>
      <w:pPr>
        <w:spacing w:before="80" w:after="120" w:line="276" w:lineRule="auto"/>
      </w:pPr>
      <w:r>
        <w:rPr>
          <w:rFonts w:ascii="Arial" w:hAnsi="Arial"/>
          <w:b/>
          <w:color w:val="0F172A"/>
          <w:sz w:val="21"/>
        </w:rPr>
        <w:t>✔ Fix 4: Link Responsiveness &amp; Instant Loading Feedback</w:t>
        <w:br/>
      </w:r>
      <w:r>
        <w:rPr>
          <w:rFonts w:ascii="Arial" w:hAnsi="Arial"/>
          <w:color w:val="475569"/>
          <w:sz w:val="19"/>
        </w:rPr>
        <w:t xml:space="preserve">Clicking dashboard quick links previously caused noticeable lag with no visual indicator, making staff feel the buttons were unresponsive. </w:t>
        <w:br/>
        <w:t>• Resolution: Implemented instant visual loading indicators with branding, plus tactile click animations on all dashboard buttons so users immediately see that the system is processing.</w:t>
      </w:r>
    </w:p>
    <w:p>
      <w:pPr>
        <w:spacing w:before="80" w:after="120" w:line="276" w:lineRule="auto"/>
      </w:pPr>
      <w:r>
        <w:rPr>
          <w:rFonts w:ascii="Arial" w:hAnsi="Arial"/>
          <w:b/>
          <w:color w:val="0F172A"/>
          <w:sz w:val="21"/>
        </w:rPr>
        <w:t>✔ Fix 5: Screen Responsiveness &amp; Finance Ledger Layout</w:t>
        <w:br/>
      </w:r>
      <w:r>
        <w:rPr>
          <w:rFonts w:ascii="Arial" w:hAnsi="Arial"/>
          <w:color w:val="475569"/>
          <w:sz w:val="19"/>
        </w:rPr>
        <w:t xml:space="preserve">The Finance Ledger had cramped titles wrapping into single words, crowded action buttons, and tables that compressed on smaller screens. </w:t>
        <w:br/>
        <w:t>• Resolution: Restructured into a clean 2-tier header with ample breathing room, added a dedicated action toolbar, and enabled automatic smooth horizontal scrolling so bills and payment records never cut off on phones, tablets, or laptops.</w:t>
      </w:r>
    </w:p>
    <w:p>
      <w:pPr>
        <w:spacing w:before="280" w:after="80"/>
      </w:pPr>
      <w:r>
        <w:rPr>
          <w:rFonts w:ascii="Georgia" w:hAnsi="Georgia"/>
          <w:b/>
          <w:color w:val="064E3B"/>
          <w:sz w:val="28"/>
        </w:rPr>
        <w:t>3. Five High-Impact Features Implemented</w:t>
      </w:r>
    </w:p>
    <w:p>
      <w:pPr>
        <w:spacing w:before="80" w:after="120" w:line="276" w:lineRule="auto"/>
      </w:pPr>
      <w:r>
        <w:rPr>
          <w:rFonts w:ascii="Arial" w:hAnsi="Arial"/>
          <w:b/>
          <w:color w:val="064E3B"/>
          <w:sz w:val="21"/>
        </w:rPr>
        <w:t>★ Feature 1: Fee Debtors Tracker &amp; 1-Click WhatsApp Reminders</w:t>
        <w:br/>
      </w:r>
      <w:r>
        <w:rPr>
          <w:rFonts w:ascii="Arial" w:hAnsi="Arial"/>
          <w:color w:val="475569"/>
          <w:sz w:val="19"/>
        </w:rPr>
        <w:t>A live debtor tracking interface showing every student with an outstanding balance, their class, and parent contact details. With one click, the system generates and opens a personalized, courteous fee reminder directly on WhatsApp—complete with the student's name, invoice number, exact balance due, and Yosola Schools' bank account details for instant payment.</w:t>
      </w:r>
    </w:p>
    <w:p>
      <w:pPr>
        <w:spacing w:before="80" w:after="120" w:line="276" w:lineRule="auto"/>
      </w:pPr>
      <w:r>
        <w:rPr>
          <w:rFonts w:ascii="Arial" w:hAnsi="Arial"/>
          <w:b/>
          <w:color w:val="064E3B"/>
          <w:sz w:val="21"/>
        </w:rPr>
        <w:t>★ Feature 2: Examination Clearance Passes (Exam Dockets)</w:t>
        <w:br/>
      </w:r>
      <w:r>
        <w:rPr>
          <w:rFonts w:ascii="Arial" w:hAnsi="Arial"/>
          <w:color w:val="475569"/>
          <w:sz w:val="19"/>
        </w:rPr>
        <w:t>Official wallet-sized printable exam clearance passes complete with security watermarks, academic year, term, and clearance status. The system automatically ensures only students with settled fees are cleared, stopping unpaid fee revenue leakage before examination halls are opened.</w:t>
      </w:r>
    </w:p>
    <w:p>
      <w:pPr>
        <w:spacing w:before="80" w:after="120" w:line="276" w:lineRule="auto"/>
      </w:pPr>
      <w:r>
        <w:rPr>
          <w:rFonts w:ascii="Arial" w:hAnsi="Arial"/>
          <w:b/>
          <w:color w:val="064E3B"/>
          <w:sz w:val="21"/>
        </w:rPr>
        <w:t>★ Feature 3: Standard Student ID Card Printing Suite</w:t>
        <w:br/>
      </w:r>
      <w:r>
        <w:rPr>
          <w:rFonts w:ascii="Arial" w:hAnsi="Arial"/>
          <w:color w:val="475569"/>
          <w:sz w:val="19"/>
        </w:rPr>
        <w:t>A standardized batch ID card generator formatted 8 cards per A4 sheet with official Yosola Schools branding, pupil portrait, admission number, grade, and emergency contact details. Allows the school to produce in-house PVC or laminated student identification cards on demand without paying external graphics designers.</w:t>
      </w:r>
    </w:p>
    <w:p>
      <w:pPr>
        <w:spacing w:before="80" w:after="120" w:line="276" w:lineRule="auto"/>
      </w:pPr>
      <w:r>
        <w:rPr>
          <w:rFonts w:ascii="Arial" w:hAnsi="Arial"/>
          <w:b/>
          <w:color w:val="064E3B"/>
          <w:sz w:val="21"/>
        </w:rPr>
        <w:t>★ Feature 4: Bank Transfer Payment Verification Hub</w:t>
        <w:br/>
      </w:r>
      <w:r>
        <w:rPr>
          <w:rFonts w:ascii="Arial" w:hAnsi="Arial"/>
          <w:color w:val="475569"/>
          <w:sz w:val="19"/>
        </w:rPr>
        <w:t>A dedicated portal for school bursars to review bank transfer claims submitted by parents. Displays date, student details, payment reference, and amount. Bursars can approve verified claims with one click, automatically issuing an official digital receipt and updating the ledger in real time.</w:t>
      </w:r>
    </w:p>
    <w:p>
      <w:pPr>
        <w:spacing w:before="80" w:after="120" w:line="276" w:lineRule="auto"/>
      </w:pPr>
      <w:r>
        <w:rPr>
          <w:rFonts w:ascii="Arial" w:hAnsi="Arial"/>
          <w:b/>
          <w:color w:val="064E3B"/>
          <w:sz w:val="21"/>
        </w:rPr>
        <w:t>★ Feature 5: One-Click Academic Session Student Promotion</w:t>
        <w:br/>
      </w:r>
      <w:r>
        <w:rPr>
          <w:rFonts w:ascii="Arial" w:hAnsi="Arial"/>
          <w:color w:val="475569"/>
          <w:sz w:val="19"/>
        </w:rPr>
        <w:t>A modern promotion modal that allows administrators to advance single students or entire classes to the next academic grade or session (e.g., 2025/2026 to 2026/2027) with preset one-click buttons, ensuring clean academic records year over year.</w:t>
      </w:r>
    </w:p>
    <w:p>
      <w:pPr>
        <w:spacing w:before="280" w:after="80"/>
      </w:pPr>
      <w:r>
        <w:rPr>
          <w:rFonts w:ascii="Georgia" w:hAnsi="Georgia"/>
          <w:b/>
          <w:color w:val="064E3B"/>
          <w:sz w:val="28"/>
        </w:rPr>
        <w:t>4. Full System Verification &amp; Stability Audit</w:t>
      </w:r>
    </w:p>
    <w:p>
      <w:pPr>
        <w:spacing w:after="120"/>
      </w:pPr>
      <w:r>
        <w:rPr>
          <w:rFonts w:ascii="Arial" w:hAnsi="Arial"/>
          <w:sz w:val="19"/>
        </w:rPr>
        <w:t>Every module was tested live against the school's production database with 100% pass rate:</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064E3B"/>
          </w:tcPr>
          <w:p>
            <w:pPr>
              <w:spacing w:before="80" w:after="80"/>
            </w:pPr>
            <w:r>
              <w:rPr>
                <w:rFonts w:ascii="Arial" w:hAnsi="Arial"/>
                <w:b/>
                <w:color w:val="FFFFFF"/>
                <w:sz w:val="19"/>
              </w:rPr>
              <w:t>System Module</w:t>
            </w:r>
          </w:p>
        </w:tc>
        <w:tc>
          <w:tcPr>
            <w:tcW w:type="dxa" w:w="3360"/>
            <w:shd w:val="clear" w:color="auto" w:fill="064E3B"/>
          </w:tcPr>
          <w:p>
            <w:pPr>
              <w:spacing w:before="80" w:after="80"/>
            </w:pPr>
            <w:r>
              <w:rPr>
                <w:rFonts w:ascii="Arial" w:hAnsi="Arial"/>
                <w:b/>
                <w:color w:val="FFFFFF"/>
                <w:sz w:val="19"/>
              </w:rPr>
              <w:t>Routes Tested</w:t>
            </w:r>
          </w:p>
        </w:tc>
        <w:tc>
          <w:tcPr>
            <w:tcW w:type="dxa" w:w="3360"/>
            <w:shd w:val="clear" w:color="auto" w:fill="064E3B"/>
          </w:tcPr>
          <w:p>
            <w:pPr>
              <w:spacing w:before="80" w:after="80"/>
            </w:pPr>
            <w:r>
              <w:rPr>
                <w:rFonts w:ascii="Arial" w:hAnsi="Arial"/>
                <w:b/>
                <w:color w:val="FFFFFF"/>
                <w:sz w:val="19"/>
              </w:rPr>
              <w:t>Audit Status</w:t>
            </w:r>
          </w:p>
        </w:tc>
      </w:tr>
      <w:tr>
        <w:tc>
          <w:tcPr>
            <w:tcW w:type="dxa" w:w="3360"/>
            <w:shd w:val="clear" w:color="auto" w:fill="F8FAFC"/>
          </w:tcPr>
          <w:p>
            <w:pPr>
              <w:spacing w:before="60" w:after="60"/>
            </w:pPr>
            <w:r>
              <w:rPr>
                <w:rFonts w:ascii="Arial" w:hAnsi="Arial"/>
                <w:color w:val="0F172A"/>
                <w:sz w:val="18"/>
              </w:rPr>
              <w:t>Student Admissions &amp; ID Cards</w:t>
            </w:r>
          </w:p>
        </w:tc>
        <w:tc>
          <w:tcPr>
            <w:tcW w:type="dxa" w:w="3360"/>
            <w:shd w:val="clear" w:color="auto" w:fill="F8FAFC"/>
          </w:tcPr>
          <w:p>
            <w:pPr>
              <w:spacing w:before="60" w:after="60"/>
            </w:pPr>
            <w:r>
              <w:rPr>
                <w:rFonts w:ascii="Arial" w:hAnsi="Arial"/>
                <w:color w:val="0F172A"/>
                <w:sz w:val="18"/>
              </w:rPr>
              <w:t>Directory, Profile, Admissions Form, ID Printing</w:t>
            </w:r>
          </w:p>
        </w:tc>
        <w:tc>
          <w:tcPr>
            <w:tcW w:type="dxa" w:w="3360"/>
            <w:shd w:val="clear" w:color="auto" w:fill="F8FAFC"/>
          </w:tcPr>
          <w:p>
            <w:pPr>
              <w:spacing w:before="60" w:after="60"/>
            </w:pPr>
            <w:r>
              <w:rPr>
                <w:rFonts w:ascii="Arial" w:hAnsi="Arial"/>
                <w:b/>
                <w:color w:val="107A44"/>
                <w:sz w:val="18"/>
              </w:rPr>
              <w:t>100% Pass (Verified)</w:t>
            </w:r>
          </w:p>
        </w:tc>
      </w:tr>
      <w:tr>
        <w:tc>
          <w:tcPr>
            <w:tcW w:type="dxa" w:w="3360"/>
            <w:shd w:val="clear" w:color="auto" w:fill="FFFFFF"/>
          </w:tcPr>
          <w:p>
            <w:pPr>
              <w:spacing w:before="60" w:after="60"/>
            </w:pPr>
            <w:r>
              <w:rPr>
                <w:rFonts w:ascii="Arial" w:hAnsi="Arial"/>
                <w:color w:val="0F172A"/>
                <w:sz w:val="18"/>
              </w:rPr>
              <w:t>Staff &amp; Teacher Attendance</w:t>
            </w:r>
          </w:p>
        </w:tc>
        <w:tc>
          <w:tcPr>
            <w:tcW w:type="dxa" w:w="3360"/>
            <w:shd w:val="clear" w:color="auto" w:fill="FFFFFF"/>
          </w:tcPr>
          <w:p>
            <w:pPr>
              <w:spacing w:before="60" w:after="60"/>
            </w:pPr>
            <w:r>
              <w:rPr>
                <w:rFonts w:ascii="Arial" w:hAnsi="Arial"/>
                <w:color w:val="0F172A"/>
                <w:sz w:val="18"/>
              </w:rPr>
              <w:t>Staff Directory, Daily Register, Class Timetable</w:t>
            </w:r>
          </w:p>
        </w:tc>
        <w:tc>
          <w:tcPr>
            <w:tcW w:type="dxa" w:w="3360"/>
            <w:shd w:val="clear" w:color="auto" w:fill="FFFFFF"/>
          </w:tcPr>
          <w:p>
            <w:pPr>
              <w:spacing w:before="60" w:after="60"/>
            </w:pPr>
            <w:r>
              <w:rPr>
                <w:rFonts w:ascii="Arial" w:hAnsi="Arial"/>
                <w:b/>
                <w:color w:val="107A44"/>
                <w:sz w:val="18"/>
              </w:rPr>
              <w:t>100% Pass (Verified)</w:t>
            </w:r>
          </w:p>
        </w:tc>
      </w:tr>
      <w:tr>
        <w:tc>
          <w:tcPr>
            <w:tcW w:type="dxa" w:w="3360"/>
            <w:shd w:val="clear" w:color="auto" w:fill="F8FAFC"/>
          </w:tcPr>
          <w:p>
            <w:pPr>
              <w:spacing w:before="60" w:after="60"/>
            </w:pPr>
            <w:r>
              <w:rPr>
                <w:rFonts w:ascii="Arial" w:hAnsi="Arial"/>
                <w:color w:val="0F172A"/>
                <w:sz w:val="18"/>
              </w:rPr>
              <w:t>Finance, Billing &amp; Bursary</w:t>
            </w:r>
          </w:p>
        </w:tc>
        <w:tc>
          <w:tcPr>
            <w:tcW w:type="dxa" w:w="3360"/>
            <w:shd w:val="clear" w:color="auto" w:fill="F8FAFC"/>
          </w:tcPr>
          <w:p>
            <w:pPr>
              <w:spacing w:before="60" w:after="60"/>
            </w:pPr>
            <w:r>
              <w:rPr>
                <w:rFonts w:ascii="Arial" w:hAnsi="Arial"/>
                <w:color w:val="0F172A"/>
                <w:sz w:val="18"/>
              </w:rPr>
              <w:t>Ledger, Invoices, Debtors, Exam Passes, Claims</w:t>
            </w:r>
          </w:p>
        </w:tc>
        <w:tc>
          <w:tcPr>
            <w:tcW w:type="dxa" w:w="3360"/>
            <w:shd w:val="clear" w:color="auto" w:fill="F8FAFC"/>
          </w:tcPr>
          <w:p>
            <w:pPr>
              <w:spacing w:before="60" w:after="60"/>
            </w:pPr>
            <w:r>
              <w:rPr>
                <w:rFonts w:ascii="Arial" w:hAnsi="Arial"/>
                <w:b/>
                <w:color w:val="107A44"/>
                <w:sz w:val="18"/>
              </w:rPr>
              <w:t>100% Pass (Verified)</w:t>
            </w:r>
          </w:p>
        </w:tc>
      </w:tr>
      <w:tr>
        <w:tc>
          <w:tcPr>
            <w:tcW w:type="dxa" w:w="3360"/>
            <w:shd w:val="clear" w:color="auto" w:fill="FFFFFF"/>
          </w:tcPr>
          <w:p>
            <w:pPr>
              <w:spacing w:before="60" w:after="60"/>
            </w:pPr>
            <w:r>
              <w:rPr>
                <w:rFonts w:ascii="Arial" w:hAnsi="Arial"/>
                <w:color w:val="0F172A"/>
                <w:sz w:val="18"/>
              </w:rPr>
              <w:t>Academics &amp; Broadsheet</w:t>
            </w:r>
          </w:p>
        </w:tc>
        <w:tc>
          <w:tcPr>
            <w:tcW w:type="dxa" w:w="3360"/>
            <w:shd w:val="clear" w:color="auto" w:fill="FFFFFF"/>
          </w:tcPr>
          <w:p>
            <w:pPr>
              <w:spacing w:before="60" w:after="60"/>
            </w:pPr>
            <w:r>
              <w:rPr>
                <w:rFonts w:ascii="Arial" w:hAnsi="Arial"/>
                <w:color w:val="0F172A"/>
                <w:sz w:val="18"/>
              </w:rPr>
              <w:t>Results Entry, Broadsheet Computations, Exams</w:t>
            </w:r>
          </w:p>
        </w:tc>
        <w:tc>
          <w:tcPr>
            <w:tcW w:type="dxa" w:w="3360"/>
            <w:shd w:val="clear" w:color="auto" w:fill="FFFFFF"/>
          </w:tcPr>
          <w:p>
            <w:pPr>
              <w:spacing w:before="60" w:after="60"/>
            </w:pPr>
            <w:r>
              <w:rPr>
                <w:rFonts w:ascii="Arial" w:hAnsi="Arial"/>
                <w:b/>
                <w:color w:val="107A44"/>
                <w:sz w:val="18"/>
              </w:rPr>
              <w:t>100% Pass (Verified)</w:t>
            </w:r>
          </w:p>
        </w:tc>
      </w:tr>
      <w:tr>
        <w:tc>
          <w:tcPr>
            <w:tcW w:type="dxa" w:w="3360"/>
            <w:shd w:val="clear" w:color="auto" w:fill="F8FAFC"/>
          </w:tcPr>
          <w:p>
            <w:pPr>
              <w:spacing w:before="60" w:after="60"/>
            </w:pPr>
            <w:r>
              <w:rPr>
                <w:rFonts w:ascii="Arial" w:hAnsi="Arial"/>
                <w:color w:val="0F172A"/>
                <w:sz w:val="18"/>
              </w:rPr>
              <w:t>Parent &amp; Guardian Management</w:t>
            </w:r>
          </w:p>
        </w:tc>
        <w:tc>
          <w:tcPr>
            <w:tcW w:type="dxa" w:w="3360"/>
            <w:shd w:val="clear" w:color="auto" w:fill="F8FAFC"/>
          </w:tcPr>
          <w:p>
            <w:pPr>
              <w:spacing w:before="60" w:after="60"/>
            </w:pPr>
            <w:r>
              <w:rPr>
                <w:rFonts w:ascii="Arial" w:hAnsi="Arial"/>
                <w:color w:val="0F172A"/>
                <w:sz w:val="18"/>
              </w:rPr>
              <w:t>Parent Directory, Linked Pupils, Profiles</w:t>
            </w:r>
          </w:p>
        </w:tc>
        <w:tc>
          <w:tcPr>
            <w:tcW w:type="dxa" w:w="3360"/>
            <w:shd w:val="clear" w:color="auto" w:fill="F8FAFC"/>
          </w:tcPr>
          <w:p>
            <w:pPr>
              <w:spacing w:before="60" w:after="60"/>
            </w:pPr>
            <w:r>
              <w:rPr>
                <w:rFonts w:ascii="Arial" w:hAnsi="Arial"/>
                <w:b/>
                <w:color w:val="107A44"/>
                <w:sz w:val="18"/>
              </w:rPr>
              <w:t>100% Pass (Verified)</w:t>
            </w:r>
          </w:p>
        </w:tc>
      </w:tr>
      <w:tr>
        <w:tc>
          <w:tcPr>
            <w:tcW w:type="dxa" w:w="3360"/>
            <w:shd w:val="clear" w:color="auto" w:fill="FFFFFF"/>
          </w:tcPr>
          <w:p>
            <w:pPr>
              <w:spacing w:before="60" w:after="60"/>
            </w:pPr>
            <w:r>
              <w:rPr>
                <w:rFonts w:ascii="Arial" w:hAnsi="Arial"/>
                <w:color w:val="0F172A"/>
                <w:sz w:val="18"/>
              </w:rPr>
              <w:t>Core Administration &amp; System</w:t>
            </w:r>
          </w:p>
        </w:tc>
        <w:tc>
          <w:tcPr>
            <w:tcW w:type="dxa" w:w="3360"/>
            <w:shd w:val="clear" w:color="auto" w:fill="FFFFFF"/>
          </w:tcPr>
          <w:p>
            <w:pPr>
              <w:spacing w:before="60" w:after="60"/>
            </w:pPr>
            <w:r>
              <w:rPr>
                <w:rFonts w:ascii="Arial" w:hAnsi="Arial"/>
                <w:color w:val="0F172A"/>
                <w:sz w:val="18"/>
              </w:rPr>
              <w:t>School Settings, Calendar, Navigation, Security</w:t>
            </w:r>
          </w:p>
        </w:tc>
        <w:tc>
          <w:tcPr>
            <w:tcW w:type="dxa" w:w="3360"/>
            <w:shd w:val="clear" w:color="auto" w:fill="FFFFFF"/>
          </w:tcPr>
          <w:p>
            <w:pPr>
              <w:spacing w:before="60" w:after="60"/>
            </w:pPr>
            <w:r>
              <w:rPr>
                <w:rFonts w:ascii="Arial" w:hAnsi="Arial"/>
                <w:b/>
                <w:color w:val="107A44"/>
                <w:sz w:val="18"/>
              </w:rPr>
              <w:t>100% Pass (Verified)</w:t>
            </w:r>
          </w:p>
        </w:tc>
      </w:tr>
    </w:tbl>
    <w:p>
      <w:pPr>
        <w:spacing w:before="280" w:after="80"/>
      </w:pPr>
      <w:r>
        <w:rPr>
          <w:rFonts w:ascii="Georgia" w:hAnsi="Georgia"/>
          <w:b/>
          <w:color w:val="064E3B"/>
          <w:sz w:val="28"/>
        </w:rPr>
        <w:t>5. Commercial Terms &amp; Maintenance Agreement</w:t>
      </w:r>
    </w:p>
    <w:p>
      <w:pPr>
        <w:spacing w:before="120" w:after="160" w:line="276" w:lineRule="auto"/>
      </w:pPr>
      <w:r>
        <w:rPr>
          <w:rFonts w:ascii="Arial" w:hAnsi="Arial"/>
          <w:sz w:val="20"/>
        </w:rPr>
        <w:t>To ensure continuous reliability, periodic feature enhancements, and dedicated technical oversight, the financial terms are summarized below:</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0F172A"/>
          </w:tcPr>
          <w:p>
            <w:pPr>
              <w:spacing w:before="80" w:after="80"/>
            </w:pPr>
            <w:r>
              <w:rPr>
                <w:rFonts w:ascii="Arial" w:hAnsi="Arial"/>
                <w:b/>
                <w:color w:val="FFFFFF"/>
                <w:sz w:val="19"/>
              </w:rPr>
              <w:t>Service Description</w:t>
            </w:r>
          </w:p>
        </w:tc>
        <w:tc>
          <w:tcPr>
            <w:tcW w:type="dxa" w:w="3360"/>
            <w:shd w:val="clear" w:color="auto" w:fill="0F172A"/>
          </w:tcPr>
          <w:p>
            <w:pPr>
              <w:spacing w:before="80" w:after="80"/>
            </w:pPr>
            <w:r>
              <w:rPr>
                <w:rFonts w:ascii="Arial" w:hAnsi="Arial"/>
                <w:b/>
                <w:color w:val="FFFFFF"/>
                <w:sz w:val="19"/>
              </w:rPr>
              <w:t>Billing Type</w:t>
            </w:r>
          </w:p>
        </w:tc>
        <w:tc>
          <w:tcPr>
            <w:tcW w:type="dxa" w:w="3360"/>
            <w:shd w:val="clear" w:color="auto" w:fill="0F172A"/>
          </w:tcPr>
          <w:p>
            <w:pPr>
              <w:spacing w:before="80" w:after="80"/>
            </w:pPr>
            <w:r>
              <w:rPr>
                <w:rFonts w:ascii="Arial" w:hAnsi="Arial"/>
                <w:b/>
                <w:color w:val="FFFFFF"/>
                <w:sz w:val="19"/>
              </w:rPr>
              <w:t>Amount (NGN)</w:t>
            </w:r>
          </w:p>
        </w:tc>
      </w:tr>
      <w:tr>
        <w:tc>
          <w:tcPr>
            <w:tcW w:type="dxa" w:w="3360"/>
            <w:shd w:val="clear" w:color="auto" w:fill="F8FAFC"/>
          </w:tcPr>
          <w:p>
            <w:pPr>
              <w:spacing w:before="80" w:after="80"/>
            </w:pPr>
            <w:r>
              <w:rPr>
                <w:rFonts w:ascii="Arial" w:hAnsi="Arial"/>
                <w:color w:val="0F172A"/>
                <w:sz w:val="19"/>
              </w:rPr>
              <w:t>Feature Implementation &amp; Full System Upgrade (5 Core Modules + Bug Fixes)</w:t>
            </w:r>
          </w:p>
        </w:tc>
        <w:tc>
          <w:tcPr>
            <w:tcW w:type="dxa" w:w="3360"/>
            <w:shd w:val="clear" w:color="auto" w:fill="F8FAFC"/>
          </w:tcPr>
          <w:p>
            <w:pPr>
              <w:spacing w:before="80" w:after="80"/>
            </w:pPr>
            <w:r>
              <w:rPr>
                <w:rFonts w:ascii="Arial" w:hAnsi="Arial"/>
                <w:color w:val="0F172A"/>
                <w:sz w:val="19"/>
              </w:rPr>
              <w:t>One-Time Implementation</w:t>
            </w:r>
          </w:p>
        </w:tc>
        <w:tc>
          <w:tcPr>
            <w:tcW w:type="dxa" w:w="3360"/>
            <w:shd w:val="clear" w:color="auto" w:fill="F8FAFC"/>
          </w:tcPr>
          <w:p>
            <w:pPr>
              <w:spacing w:before="80" w:after="80"/>
            </w:pPr>
            <w:r>
              <w:rPr>
                <w:rFonts w:ascii="Arial" w:hAnsi="Arial"/>
                <w:b/>
                <w:color w:val="064E3B"/>
                <w:sz w:val="19"/>
              </w:rPr>
              <w:t>₦130,000</w:t>
            </w:r>
          </w:p>
        </w:tc>
      </w:tr>
      <w:tr>
        <w:tc>
          <w:tcPr>
            <w:tcW w:type="dxa" w:w="3360"/>
            <w:shd w:val="clear" w:color="auto" w:fill="FFFFFF"/>
          </w:tcPr>
          <w:p>
            <w:pPr>
              <w:spacing w:before="80" w:after="80"/>
            </w:pPr>
            <w:r>
              <w:rPr>
                <w:rFonts w:ascii="Arial" w:hAnsi="Arial"/>
                <w:color w:val="0F172A"/>
                <w:sz w:val="19"/>
              </w:rPr>
              <w:t>Continuous Developer Management, Support &amp; System Maintenance</w:t>
            </w:r>
          </w:p>
        </w:tc>
        <w:tc>
          <w:tcPr>
            <w:tcW w:type="dxa" w:w="3360"/>
            <w:shd w:val="clear" w:color="auto" w:fill="FFFFFF"/>
          </w:tcPr>
          <w:p>
            <w:pPr>
              <w:spacing w:before="80" w:after="80"/>
            </w:pPr>
            <w:r>
              <w:rPr>
                <w:rFonts w:ascii="Arial" w:hAnsi="Arial"/>
                <w:color w:val="0F172A"/>
                <w:sz w:val="19"/>
              </w:rPr>
              <w:t>Monthly Retainer</w:t>
            </w:r>
          </w:p>
        </w:tc>
        <w:tc>
          <w:tcPr>
            <w:tcW w:type="dxa" w:w="3360"/>
            <w:shd w:val="clear" w:color="auto" w:fill="FFFFFF"/>
          </w:tcPr>
          <w:p>
            <w:pPr>
              <w:spacing w:before="80" w:after="80"/>
            </w:pPr>
            <w:r>
              <w:rPr>
                <w:rFonts w:ascii="Arial" w:hAnsi="Arial"/>
                <w:b/>
                <w:color w:val="064E3B"/>
                <w:sz w:val="19"/>
              </w:rPr>
              <w:t>₦50,000 / month</w:t>
            </w:r>
          </w:p>
        </w:tc>
      </w:tr>
    </w:tbl>
    <w:p>
      <w:pPr>
        <w:spacing w:before="160" w:after="240" w:line="276" w:lineRule="auto"/>
      </w:pPr>
      <w:r>
        <w:rPr>
          <w:rFonts w:ascii="Arial" w:hAnsi="Arial"/>
          <w:color w:val="475569"/>
          <w:sz w:val="19"/>
        </w:rPr>
        <w:t>Monthly Maintenance Scope (₦50,000/month):</w:t>
        <w:br/>
        <w:t>• Ongoing technical maintenance, server health monitoring, and performance tuning.</w:t>
        <w:br/>
        <w:t>• Database backup oversight and session management.</w:t>
        <w:br/>
        <w:t>• Academic term transitions, session updates, and student cohort promotions.</w:t>
        <w:br/>
        <w:t>• Rapid resolution of any operational glitches or staff inquiries.</w:t>
        <w:br/>
        <w:t>• Routine feature improvements tailored to Yosola Schools' emerging administrative needs.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before="200"/>
            </w:pPr>
            <w:r>
              <w:rPr>
                <w:rFonts w:ascii="Arial" w:hAnsi="Arial"/>
                <w:sz w:val="19"/>
              </w:rPr>
              <w:t>_______________________________</w:t>
              <w:br/>
              <w:t>Opeyemi Ayomide</w:t>
              <w:br/>
              <w:t>Lead Software Developer</w:t>
              <w:br/>
              <w:t>Date: ________________________</w:t>
            </w:r>
          </w:p>
        </w:tc>
        <w:tc>
          <w:tcPr>
            <w:tcW w:type="dxa" w:w="5040"/>
          </w:tcPr>
          <w:p>
            <w:pPr>
              <w:spacing w:before="200"/>
            </w:pPr>
            <w:r>
              <w:rPr>
                <w:rFonts w:ascii="Arial" w:hAnsi="Arial"/>
                <w:sz w:val="19"/>
              </w:rPr>
              <w:t>_______________________________</w:t>
              <w:br/>
              <w:t>For: Yosola Schools Management</w:t>
              <w:br/>
              <w:t>Proprietor / Administrator</w:t>
              <w:br/>
              <w:t>Date: ________________________</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