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Black" w:hAnsi="Arial Black"/>
          <w:color w:val="0E7490"/>
          <w:sz w:val="48"/>
        </w:rPr>
        <w:t>MASTERYFLOW</w:t>
      </w:r>
    </w:p>
    <w:p>
      <w:pPr>
        <w:spacing w:before="0" w:after="280"/>
        <w:jc w:val="center"/>
      </w:pPr>
      <w:r>
        <w:rPr>
          <w:rFonts w:ascii="Calibri" w:hAnsi="Calibri"/>
          <w:i/>
          <w:color w:val="64748B"/>
          <w:sz w:val="22"/>
        </w:rPr>
        <w:t>Comprehensive Technical Specification, System Workflow, &amp; Jury Defense Manual</w:t>
        <w:br/>
        <w:t>Domain 4: Intelligent Educational Systems | YUVA Megathon 2026</w:t>
      </w: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60" w:type="dxa"/>
              <w:right w:w="160" w:type="dxa"/>
            </w:tcMar>
            <w:tcBorders>
              <w:top w:val="none"/>
              <w:left w:val="single" w:sz="24" w:space="0" w:color="16A34A"/>
              <w:bottom w:val="none"/>
              <w:right w:val="none"/>
            </w:tcBorders>
          </w:tcPr>
          <w:p>
            <w:pPr>
              <w:spacing w:before="40" w:after="40"/>
            </w:pPr>
            <w:r>
              <w:rPr>
                <w:rFonts w:ascii="Calibri" w:hAnsi="Calibri"/>
                <w:b/>
                <w:color w:val="166534"/>
                <w:sz w:val="20"/>
              </w:rPr>
              <w:t xml:space="preserve">⚡ EXECUTIVE SUMMARY &amp; CORE PROMISE: </w:t>
            </w:r>
            <w:r>
              <w:rPr>
                <w:rFonts w:ascii="Calibri" w:hAnsi="Calibri"/>
                <w:color w:val="1E293B"/>
                <w:sz w:val="19"/>
              </w:rPr>
              <w:t>MasteryFlow is a pure deterministic, zero-hallucination intelligent learning system for Mathematics (Fractions, Decimals, and Ratios). It models learner mastery via Bayesian Knowledge Tracing (BKT), enforces prerequisite graph DAG constraints, penalizes gaming behaviors, accounts for Ebbinghaus memory decay, and provides 100% transparent Glass-Box explainability with human-in-the-loop teacher overrides.</w:t>
            </w:r>
          </w:p>
        </w:tc>
      </w:tr>
    </w:tbl>
    <w:p>
      <w:pPr>
        <w:spacing w:after="80"/>
      </w:pPr>
    </w:p>
    <w:p>
      <w:pPr>
        <w:pStyle w:val="Heading1"/>
      </w:pPr>
      <w:r>
        <w:t>1. Complete Web Application Workflow (Option-by-Option Breakdown)</w:t>
      </w:r>
    </w:p>
    <w:p>
      <w:r>
        <w:rPr>
          <w:sz w:val="20"/>
        </w:rPr>
        <w:t xml:space="preserve">The platform is structured into a streamlined production architecture featuring </w:t>
      </w:r>
      <w:r>
        <w:rPr>
          <w:b/>
          <w:sz w:val="20"/>
        </w:rPr>
        <w:t>4 Primary User Hubs</w:t>
      </w:r>
      <w:r>
        <w:rPr>
          <w:sz w:val="20"/>
        </w:rPr>
        <w:t xml:space="preserve"> and a collapsible </w:t>
      </w:r>
      <w:r>
        <w:rPr>
          <w:b/>
          <w:sz w:val="20"/>
        </w:rPr>
        <w:t>Developer &amp; Demo Tools Suite</w:t>
      </w:r>
      <w:r>
        <w:rPr>
          <w:sz w:val="20"/>
        </w:rPr>
        <w:t>. Below is the complete functional breakdown of every button, tab, and control.</w:t>
      </w:r>
    </w:p>
    <w:tbl>
      <w:tblPr>
        <w:tblW w:type="auto" w:w="0"/>
        <w:jc w:val="center"/>
        <w:tblLook w:firstColumn="1" w:firstRow="1" w:lastColumn="0" w:lastRow="0" w:noHBand="0" w:noVBand="1" w:val="04A0"/>
      </w:tblPr>
      <w:tblGrid>
        <w:gridCol w:w="3312"/>
        <w:gridCol w:w="3312"/>
        <w:gridCol w:w="3312"/>
      </w:tblGrid>
      <w:tr>
        <w:tc>
          <w:tcPr>
            <w:tcW w:type="dxa" w:w="2160"/>
            <w:shd w:fill="0F172A"/>
            <w:tcMar>
              <w:top w:w="100" w:type="dxa"/>
              <w:bottom w:w="100" w:type="dxa"/>
              <w:left w:w="110" w:type="dxa"/>
              <w:right w:w="110" w:type="dxa"/>
            </w:tcMar>
          </w:tcPr>
          <w:p>
            <w:r>
              <w:rPr>
                <w:rFonts w:ascii="Calibri" w:hAnsi="Calibri"/>
                <w:b/>
                <w:color w:val="FFFFFF"/>
                <w:sz w:val="18"/>
              </w:rPr>
              <w:t>Navigation Option</w:t>
            </w:r>
          </w:p>
        </w:tc>
        <w:tc>
          <w:tcPr>
            <w:tcW w:type="dxa" w:w="3600"/>
            <w:shd w:fill="0F172A"/>
            <w:tcMar>
              <w:top w:w="100" w:type="dxa"/>
              <w:bottom w:w="100" w:type="dxa"/>
              <w:left w:w="110" w:type="dxa"/>
              <w:right w:w="110" w:type="dxa"/>
            </w:tcMar>
          </w:tcPr>
          <w:p>
            <w:r>
              <w:rPr>
                <w:rFonts w:ascii="Calibri" w:hAnsi="Calibri"/>
                <w:b/>
                <w:color w:val="FFFFFF"/>
                <w:sz w:val="18"/>
              </w:rPr>
              <w:t>Target User &amp; Function</w:t>
            </w:r>
          </w:p>
        </w:tc>
        <w:tc>
          <w:tcPr>
            <w:tcW w:type="dxa" w:w="4032"/>
            <w:shd w:fill="0F172A"/>
            <w:tcMar>
              <w:top w:w="100" w:type="dxa"/>
              <w:bottom w:w="100" w:type="dxa"/>
              <w:left w:w="110" w:type="dxa"/>
              <w:right w:w="110" w:type="dxa"/>
            </w:tcMar>
          </w:tcPr>
          <w:p>
            <w:r>
              <w:rPr>
                <w:rFonts w:ascii="Calibri" w:hAnsi="Calibri"/>
                <w:b/>
                <w:color w:val="FFFFFF"/>
                <w:sz w:val="18"/>
              </w:rPr>
              <w:t>Internal Mechanics &amp; Components Triggered</w:t>
            </w:r>
          </w:p>
        </w:tc>
      </w:tr>
      <w:tr>
        <w:tc>
          <w:tcPr>
            <w:tcW w:type="dxa" w:w="2160"/>
            <w:shd w:fill="F8FAFC"/>
            <w:tcMar>
              <w:top w:w="80" w:type="dxa"/>
              <w:bottom w:w="80" w:type="dxa"/>
              <w:left w:w="110" w:type="dxa"/>
              <w:right w:w="110" w:type="dxa"/>
            </w:tcMar>
          </w:tcPr>
          <w:p>
            <w:r>
              <w:rPr>
                <w:rFonts w:ascii="Calibri" w:hAnsi="Calibri"/>
                <w:color w:val="0F172A"/>
                <w:sz w:val="17"/>
              </w:rPr>
              <w:t>🎓 Learn</w:t>
            </w:r>
          </w:p>
        </w:tc>
        <w:tc>
          <w:tcPr>
            <w:tcW w:type="dxa" w:w="3600"/>
            <w:shd w:fill="F8FAFC"/>
            <w:tcMar>
              <w:top w:w="80" w:type="dxa"/>
              <w:bottom w:w="80" w:type="dxa"/>
              <w:left w:w="110" w:type="dxa"/>
              <w:right w:w="110" w:type="dxa"/>
            </w:tcMar>
          </w:tcPr>
          <w:p>
            <w:r>
              <w:rPr>
                <w:rFonts w:ascii="Calibri" w:hAnsi="Calibri"/>
                <w:color w:val="0F172A"/>
                <w:sz w:val="17"/>
              </w:rPr>
              <w:t>Student Adaptive Learning Hub: Interactive problem runner, glass-box HUD, multi-signal telemetry, 2D/3D DAG switcher, and diagnostic tests.</w:t>
            </w:r>
          </w:p>
        </w:tc>
        <w:tc>
          <w:tcPr>
            <w:tcW w:type="dxa" w:w="4032"/>
            <w:shd w:fill="F8FAFC"/>
            <w:tcMar>
              <w:top w:w="80" w:type="dxa"/>
              <w:bottom w:w="80" w:type="dxa"/>
              <w:left w:w="110" w:type="dxa"/>
              <w:right w:w="110" w:type="dxa"/>
            </w:tcMar>
          </w:tcPr>
          <w:p>
            <w:r>
              <w:rPr>
                <w:rFonts w:ascii="Calibri" w:hAnsi="Calibri"/>
                <w:color w:val="0F172A"/>
                <w:sz w:val="17"/>
              </w:rPr>
              <w:t>Executes 6-Rule Decision Hierarchy, updates BKT posterior probabilities, computes evidence weight w, and renders question chips with LaTeX.</w:t>
            </w:r>
          </w:p>
        </w:tc>
      </w:tr>
      <w:tr>
        <w:tc>
          <w:tcPr>
            <w:tcW w:type="dxa" w:w="2160"/>
            <w:shd w:fill="FFFFFF"/>
            <w:tcMar>
              <w:top w:w="80" w:type="dxa"/>
              <w:bottom w:w="80" w:type="dxa"/>
              <w:left w:w="110" w:type="dxa"/>
              <w:right w:w="110" w:type="dxa"/>
            </w:tcMar>
          </w:tcPr>
          <w:p>
            <w:r>
              <w:rPr>
                <w:rFonts w:ascii="Calibri" w:hAnsi="Calibri"/>
                <w:color w:val="0F172A"/>
                <w:sz w:val="17"/>
              </w:rPr>
              <w:t>📊 Dashboard</w:t>
            </w:r>
          </w:p>
        </w:tc>
        <w:tc>
          <w:tcPr>
            <w:tcW w:type="dxa" w:w="3600"/>
            <w:shd w:fill="FFFFFF"/>
            <w:tcMar>
              <w:top w:w="80" w:type="dxa"/>
              <w:bottom w:w="80" w:type="dxa"/>
              <w:left w:w="110" w:type="dxa"/>
              <w:right w:w="110" w:type="dxa"/>
            </w:tcMar>
          </w:tcPr>
          <w:p>
            <w:r>
              <w:rPr>
                <w:rFonts w:ascii="Calibri" w:hAnsi="Calibri"/>
                <w:color w:val="0F172A"/>
                <w:sz w:val="17"/>
              </w:rPr>
              <w:t>Student Analytics &amp; Cockpit: Global mastery overview, 10-concept progress grid, and embedded 3D Holographic Universe.</w:t>
            </w:r>
          </w:p>
        </w:tc>
        <w:tc>
          <w:tcPr>
            <w:tcW w:type="dxa" w:w="4032"/>
            <w:shd w:fill="FFFFFF"/>
            <w:tcMar>
              <w:top w:w="80" w:type="dxa"/>
              <w:bottom w:w="80" w:type="dxa"/>
              <w:left w:w="110" w:type="dxa"/>
              <w:right w:w="110" w:type="dxa"/>
            </w:tcMar>
          </w:tcPr>
          <w:p>
            <w:r>
              <w:rPr>
                <w:rFonts w:ascii="Calibri" w:hAnsi="Calibri"/>
                <w:color w:val="0F172A"/>
                <w:sz w:val="17"/>
              </w:rPr>
              <w:t>Aggregates effective mastery (p_eff), calculates concepts mastered count, displays day streak, and renders 360° Three.js WebGL canvas.</w:t>
            </w:r>
          </w:p>
        </w:tc>
      </w:tr>
      <w:tr>
        <w:tc>
          <w:tcPr>
            <w:tcW w:type="dxa" w:w="2160"/>
            <w:shd w:fill="F8FAFC"/>
            <w:tcMar>
              <w:top w:w="80" w:type="dxa"/>
              <w:bottom w:w="80" w:type="dxa"/>
              <w:left w:w="110" w:type="dxa"/>
              <w:right w:w="110" w:type="dxa"/>
            </w:tcMar>
          </w:tcPr>
          <w:p>
            <w:r>
              <w:rPr>
                <w:rFonts w:ascii="Calibri" w:hAnsi="Calibri"/>
                <w:color w:val="0F172A"/>
                <w:sz w:val="17"/>
              </w:rPr>
              <w:t>👩‍🏫 Teach</w:t>
            </w:r>
          </w:p>
        </w:tc>
        <w:tc>
          <w:tcPr>
            <w:tcW w:type="dxa" w:w="3600"/>
            <w:shd w:fill="F8FAFC"/>
            <w:tcMar>
              <w:top w:w="80" w:type="dxa"/>
              <w:bottom w:w="80" w:type="dxa"/>
              <w:left w:w="110" w:type="dxa"/>
              <w:right w:w="110" w:type="dxa"/>
            </w:tcMar>
          </w:tcPr>
          <w:p>
            <w:r>
              <w:rPr>
                <w:rFonts w:ascii="Calibri" w:hAnsi="Calibri"/>
                <w:color w:val="0F172A"/>
                <w:sz w:val="17"/>
              </w:rPr>
              <w:t>Teacher Command Center: Institutional monitoring, cohort heatmap (N x 10 matrix), stuck learner queue, and 1-click human overrides.</w:t>
            </w:r>
          </w:p>
        </w:tc>
        <w:tc>
          <w:tcPr>
            <w:tcW w:type="dxa" w:w="4032"/>
            <w:shd w:fill="F8FAFC"/>
            <w:tcMar>
              <w:top w:w="80" w:type="dxa"/>
              <w:bottom w:w="80" w:type="dxa"/>
              <w:left w:w="110" w:type="dxa"/>
              <w:right w:w="110" w:type="dxa"/>
            </w:tcMar>
          </w:tcPr>
          <w:p>
            <w:r>
              <w:rPr>
                <w:rFonts w:ascii="Calibri" w:hAnsi="Calibri"/>
                <w:color w:val="0F172A"/>
                <w:sz w:val="17"/>
              </w:rPr>
              <w:t>Queries SQLite database for cohort-wide distributions, detects systemic bottlenecks (&gt;40% failure), and executes persistent teacher overrides.</w:t>
            </w:r>
          </w:p>
        </w:tc>
      </w:tr>
      <w:tr>
        <w:tc>
          <w:tcPr>
            <w:tcW w:type="dxa" w:w="2160"/>
            <w:shd w:fill="FFFFFF"/>
            <w:tcMar>
              <w:top w:w="80" w:type="dxa"/>
              <w:bottom w:w="80" w:type="dxa"/>
              <w:left w:w="110" w:type="dxa"/>
              <w:right w:w="110" w:type="dxa"/>
            </w:tcMar>
          </w:tcPr>
          <w:p>
            <w:r>
              <w:rPr>
                <w:rFonts w:ascii="Calibri" w:hAnsi="Calibri"/>
                <w:color w:val="0F172A"/>
                <w:sz w:val="17"/>
              </w:rPr>
              <w:t>🔬 Explore</w:t>
            </w:r>
          </w:p>
        </w:tc>
        <w:tc>
          <w:tcPr>
            <w:tcW w:type="dxa" w:w="3600"/>
            <w:shd w:fill="FFFFFF"/>
            <w:tcMar>
              <w:top w:w="80" w:type="dxa"/>
              <w:bottom w:w="80" w:type="dxa"/>
              <w:left w:w="110" w:type="dxa"/>
              <w:right w:w="110" w:type="dxa"/>
            </w:tcMar>
          </w:tcPr>
          <w:p>
            <w:r>
              <w:rPr>
                <w:rFonts w:ascii="Calibri" w:hAnsi="Calibri"/>
                <w:color w:val="0F172A"/>
                <w:sz w:val="17"/>
              </w:rPr>
              <w:t>Curriculum Knowledge Explorer: Interactive tech-tree directory of all 10 canonical math concepts, descriptions, and prerequisites.</w:t>
            </w:r>
          </w:p>
        </w:tc>
        <w:tc>
          <w:tcPr>
            <w:tcW w:type="dxa" w:w="4032"/>
            <w:shd w:fill="FFFFFF"/>
            <w:tcMar>
              <w:top w:w="80" w:type="dxa"/>
              <w:bottom w:w="80" w:type="dxa"/>
              <w:left w:w="110" w:type="dxa"/>
              <w:right w:w="110" w:type="dxa"/>
            </w:tcMar>
          </w:tcPr>
          <w:p>
            <w:r>
              <w:rPr>
                <w:rFonts w:ascii="Calibri" w:hAnsi="Calibri"/>
                <w:color w:val="0F172A"/>
                <w:sz w:val="17"/>
              </w:rPr>
              <w:t>Renders full curriculum graph dependencies, shows prerequisite chains (e.g., C1 -&gt; C2 -&gt; C4), and provides concept reference cards.</w:t>
            </w:r>
          </w:p>
        </w:tc>
      </w:tr>
    </w:tbl>
    <w:p>
      <w:pPr>
        <w:spacing w:after="80"/>
      </w:pPr>
    </w:p>
    <w:p>
      <w:pPr>
        <w:pStyle w:val="Heading2"/>
      </w:pPr>
      <w:r>
        <w:t>1.1 Detailed Sub-Tabs within the '🎓 Learn' Portal</w:t>
      </w:r>
    </w:p>
    <w:p>
      <w:pPr>
        <w:spacing w:before="80" w:after="20"/>
      </w:pPr>
      <w:r>
        <w:rPr>
          <w:rFonts w:ascii="Calibri" w:hAnsi="Calibri"/>
          <w:b/>
          <w:color w:val="0E7490"/>
          <w:sz w:val="21"/>
        </w:rPr>
        <w:t>Tab 1: 🎯 Adaptive Learning Loop</w:t>
      </w:r>
    </w:p>
    <w:p>
      <w:pPr>
        <w:spacing w:before="0" w:after="80"/>
      </w:pPr>
      <w:r>
        <w:rPr>
          <w:rFonts w:ascii="Calibri" w:hAnsi="Calibri"/>
          <w:color w:val="334155"/>
          <w:sz w:val="19"/>
        </w:rPr>
        <w:t>The primary student workspace. Displays the active student name, streak counter, best streak, and memory clock (+virtual days). Features:</w:t>
        <w:br/>
        <w:t>• Glass-Box 'Why This Next?' Card: Explains in plain English why the current concept was chosen, which rule triggered it, and shows a 'Zero-Hallucination Proof' badge.</w:t>
        <w:br/>
        <w:t>• Student Agency Accordion: Allows a student to request a different concept or challenge mode, logging the request to SQLite.</w:t>
        <w:br/>
        <w:t>• Interactive Question Runner: Renders mathematical word problems, custom 1-click math chips (e.g., 1/2, 3/4, 2:3), 3 progressive hints with penalty tracking, latency timer, and confidence selector (High, Medium, Low).</w:t>
        <w:br/>
        <w:t>• Telemetry Breakdown Card: Appears post-submission, breaking down evidence weight w, Δp shift, response time, and misconceptions.</w:t>
      </w:r>
    </w:p>
    <w:p>
      <w:pPr>
        <w:spacing w:before="80" w:after="20"/>
      </w:pPr>
      <w:r>
        <w:rPr>
          <w:rFonts w:ascii="Calibri" w:hAnsi="Calibri"/>
          <w:b/>
          <w:color w:val="0E7490"/>
          <w:sz w:val="21"/>
        </w:rPr>
        <w:t>Tab 2: 🌌 Concept Knowledge Tree (2D / 3D)</w:t>
      </w:r>
    </w:p>
    <w:p>
      <w:pPr>
        <w:spacing w:before="0" w:after="80"/>
      </w:pPr>
      <w:r>
        <w:rPr>
          <w:rFonts w:ascii="Calibri" w:hAnsi="Calibri"/>
          <w:color w:val="334155"/>
          <w:sz w:val="19"/>
        </w:rPr>
        <w:t>Visualizes the student's personal curriculum progress. Features a radio toggle between:</w:t>
        <w:br/>
        <w:t>• 🌐 3D WebGL Galaxy: 360° orbital Three.js universe with glowing celestial spheres, laser pulses, and raycast inspection.</w:t>
        <w:br/>
        <w:t>• 📐 2D Topological Tech-Tree: Graphviz SVG rendering showing topological levels (Foundational, Intermediate, Advanced, Capstone).</w:t>
      </w:r>
    </w:p>
    <w:p>
      <w:pPr>
        <w:spacing w:before="80" w:after="20"/>
      </w:pPr>
      <w:r>
        <w:rPr>
          <w:rFonts w:ascii="Calibri" w:hAnsi="Calibri"/>
          <w:b/>
          <w:color w:val="0E7490"/>
          <w:sz w:val="21"/>
        </w:rPr>
        <w:t>Tab 3: 🧪 6-Question Cold-Start Diagnostic</w:t>
      </w:r>
    </w:p>
    <w:p>
      <w:pPr>
        <w:spacing w:before="0" w:after="80"/>
      </w:pPr>
      <w:r>
        <w:rPr>
          <w:rFonts w:ascii="Calibri" w:hAnsi="Calibri"/>
          <w:color w:val="334155"/>
          <w:sz w:val="19"/>
        </w:rPr>
        <w:t>For new or uncalibrated students. Executes Maximum Uncertainty Entropy Sampling across 6 hub concepts (C1, C2, C4, C6, C7, C8). Propagates evidence (0.3 x w) along prerequisite edges to initialize the student's cognitive vector without assuming zero knowledge.</w:t>
      </w:r>
    </w:p>
    <w:p>
      <w:pPr>
        <w:spacing w:before="80" w:after="20"/>
      </w:pPr>
      <w:r>
        <w:rPr>
          <w:rFonts w:ascii="Calibri" w:hAnsi="Calibri"/>
          <w:b/>
          <w:color w:val="0E7490"/>
          <w:sz w:val="21"/>
        </w:rPr>
        <w:t>Tab 4: 📊 Psychometric Diagnostics &amp; Telemetry Bench</w:t>
      </w:r>
    </w:p>
    <w:p>
      <w:pPr>
        <w:spacing w:before="0" w:after="80"/>
      </w:pPr>
      <w:r>
        <w:rPr>
          <w:rFonts w:ascii="Calibri" w:hAnsi="Calibri"/>
          <w:color w:val="334155"/>
          <w:sz w:val="19"/>
        </w:rPr>
        <w:t>Live mathematical telemetry bench showing the raw latent p, effective p_eff, memory stability in days, transfer verification status, and standard error uncertainty interval for every concept.</w:t>
      </w:r>
    </w:p>
    <w:p>
      <w:pPr>
        <w:pStyle w:val="Heading2"/>
      </w:pPr>
      <w:r>
        <w:t>1.2 Developer &amp; Jury Evaluation Suite (Sidebar Expander)</w:t>
      </w:r>
    </w:p>
    <w:p>
      <w:r>
        <w:rPr>
          <w:sz w:val="19"/>
        </w:rPr>
        <w:t>Located in the sidebar under '🔧 Developer &amp; Demo Tools', this suite provides instant access to verification suites required by the hackathon evaluation rubric:</w:t>
      </w:r>
    </w:p>
    <w:p>
      <w:pPr>
        <w:spacing w:before="60" w:after="20"/>
      </w:pPr>
      <w:r>
        <w:rPr>
          <w:rFonts w:ascii="Calibri" w:hAnsi="Calibri"/>
          <w:b/>
          <w:color w:val="1E293B"/>
          <w:sz w:val="19"/>
        </w:rPr>
        <w:t xml:space="preserve">• 🏆 6-Step Official Jury Demo Tour: </w:t>
      </w:r>
      <w:r>
        <w:rPr>
          <w:rFonts w:ascii="Calibri" w:hAnsi="Calibri"/>
          <w:color w:val="475569"/>
          <w:sz w:val="18"/>
        </w:rPr>
        <w:t>Walks through the mandatory 6-step verification sequence: Replaying 2 Divergent Profiles, Cold-Start Diagnostic, Ingesting Real Attempt with Telemetry, Prerequisite Repair &amp; Spaced Review, Divergent Paths on Identical Scores, and 1-Click Teacher Override with SQLite Audit Logging.</w:t>
      </w:r>
    </w:p>
    <w:p>
      <w:pPr>
        <w:spacing w:before="60" w:after="20"/>
      </w:pPr>
      <w:r>
        <w:rPr>
          <w:rFonts w:ascii="Calibri" w:hAnsi="Calibri"/>
          <w:b/>
          <w:color w:val="1E293B"/>
          <w:sz w:val="19"/>
        </w:rPr>
        <w:t xml:space="preserve">• 🛡️ 5-Judge Stress-Test Suite: </w:t>
      </w:r>
      <w:r>
        <w:rPr>
          <w:rFonts w:ascii="Calibri" w:hAnsi="Calibri"/>
          <w:color w:val="475569"/>
          <w:sz w:val="18"/>
        </w:rPr>
        <w:t>Evaluates all 6 edge-case scenarios: Transfer Verification Barrier, Prerequisite Ceiling Inconsistency, Anti-Gaming Latency Guard, Long-Gap Memory Decay, Persistent Teacher Override, and Divergent Action Verification.</w:t>
      </w:r>
    </w:p>
    <w:p>
      <w:pPr>
        <w:spacing w:before="60" w:after="20"/>
      </w:pPr>
      <w:r>
        <w:rPr>
          <w:rFonts w:ascii="Calibri" w:hAnsi="Calibri"/>
          <w:b/>
          <w:color w:val="1E293B"/>
          <w:sz w:val="19"/>
        </w:rPr>
        <w:t xml:space="preserve">• 🔬 Multi-Persona Simulation Replays: </w:t>
      </w:r>
      <w:r>
        <w:rPr>
          <w:rFonts w:ascii="Calibri" w:hAnsi="Calibri"/>
          <w:color w:val="475569"/>
          <w:sz w:val="18"/>
        </w:rPr>
        <w:t>Executes automated deterministic simulation traces for all 4 cognitive archetypes (Diya, Rohan, Aarav, Priya) verifying 100% expected action transitions.</w:t>
      </w:r>
    </w:p>
    <w:p>
      <w:pPr>
        <w:spacing w:before="60" w:after="20"/>
      </w:pPr>
      <w:r>
        <w:rPr>
          <w:rFonts w:ascii="Calibri" w:hAnsi="Calibri"/>
          <w:b/>
          <w:color w:val="1E293B"/>
          <w:sz w:val="19"/>
        </w:rPr>
        <w:t xml:space="preserve">• ⚡ ML Engine Inspector: </w:t>
      </w:r>
      <w:r>
        <w:rPr>
          <w:rFonts w:ascii="Calibri" w:hAnsi="Calibri"/>
          <w:color w:val="475569"/>
          <w:sz w:val="18"/>
        </w:rPr>
        <w:t>Deep-dive psychometric bench displaying real-time formula computation for BKT probability updates, Ebbinghaus decay exponentials, evidence weighting factors, and Shannon entropy.</w:t>
      </w:r>
    </w:p>
    <w:p>
      <w:pPr>
        <w:spacing w:before="60" w:after="20"/>
      </w:pPr>
      <w:r>
        <w:rPr>
          <w:rFonts w:ascii="Calibri" w:hAnsi="Calibri"/>
          <w:b/>
          <w:color w:val="1E293B"/>
          <w:sz w:val="19"/>
        </w:rPr>
        <w:t xml:space="preserve">• 📐 Test 8 Reproducibility Proofs: </w:t>
      </w:r>
      <w:r>
        <w:rPr>
          <w:rFonts w:ascii="Calibri" w:hAnsi="Calibri"/>
          <w:color w:val="475569"/>
          <w:sz w:val="18"/>
        </w:rPr>
        <w:t>Loads stored inputs_snapshot JSON payloads and re-runs the decision engine to prove 100% identical outputs with 0.00% variance.</w:t>
      </w:r>
    </w:p>
    <w:p>
      <w:r>
        <w:br w:type="page"/>
      </w:r>
    </w:p>
    <w:p>
      <w:pPr>
        <w:pStyle w:val="Heading1"/>
      </w:pPr>
      <w:r>
        <w:t>2. Frontend Architecture &amp; Technology Stack</w:t>
      </w:r>
    </w:p>
    <w:p>
      <w:r>
        <w:rPr>
          <w:sz w:val="20"/>
        </w:rPr>
        <w:t>The frontend is built with Python Streamlit 1.30+ combined with custom WebGL Three.js components and a proprietary 2026 dark glassmorphism design system.</w:t>
      </w:r>
    </w:p>
    <w:tbl>
      <w:tblPr>
        <w:tblW w:type="auto" w:w="0"/>
        <w:jc w:val="center"/>
        <w:tblLook w:firstColumn="1" w:firstRow="1" w:lastColumn="0" w:lastRow="0" w:noHBand="0" w:noVBand="1" w:val="04A0"/>
      </w:tblPr>
      <w:tblGrid>
        <w:gridCol w:w="3312"/>
        <w:gridCol w:w="3312"/>
        <w:gridCol w:w="3312"/>
      </w:tblGrid>
      <w:tr>
        <w:tc>
          <w:tcPr>
            <w:tcW w:type="dxa" w:w="2304"/>
            <w:shd w:fill="0F172A"/>
            <w:tcMar>
              <w:top w:w="100" w:type="dxa"/>
              <w:bottom w:w="100" w:type="dxa"/>
              <w:left w:w="110" w:type="dxa"/>
              <w:right w:w="110" w:type="dxa"/>
            </w:tcMar>
          </w:tcPr>
          <w:p>
            <w:r>
              <w:rPr>
                <w:rFonts w:ascii="Calibri" w:hAnsi="Calibri"/>
                <w:b/>
                <w:color w:val="FFFFFF"/>
                <w:sz w:val="18"/>
              </w:rPr>
              <w:t>Frontend Component</w:t>
            </w:r>
          </w:p>
        </w:tc>
        <w:tc>
          <w:tcPr>
            <w:tcW w:type="dxa" w:w="2592"/>
            <w:shd w:fill="0F172A"/>
            <w:tcMar>
              <w:top w:w="100" w:type="dxa"/>
              <w:bottom w:w="100" w:type="dxa"/>
              <w:left w:w="110" w:type="dxa"/>
              <w:right w:w="110" w:type="dxa"/>
            </w:tcMar>
          </w:tcPr>
          <w:p>
            <w:r>
              <w:rPr>
                <w:rFonts w:ascii="Calibri" w:hAnsi="Calibri"/>
                <w:b/>
                <w:color w:val="FFFFFF"/>
                <w:sz w:val="18"/>
              </w:rPr>
              <w:t>Technology / File</w:t>
            </w:r>
          </w:p>
        </w:tc>
        <w:tc>
          <w:tcPr>
            <w:tcW w:type="dxa" w:w="4896"/>
            <w:shd w:fill="0F172A"/>
            <w:tcMar>
              <w:top w:w="100" w:type="dxa"/>
              <w:bottom w:w="100" w:type="dxa"/>
              <w:left w:w="110" w:type="dxa"/>
              <w:right w:w="110" w:type="dxa"/>
            </w:tcMar>
          </w:tcPr>
          <w:p>
            <w:r>
              <w:rPr>
                <w:rFonts w:ascii="Calibri" w:hAnsi="Calibri"/>
                <w:b/>
                <w:color w:val="FFFFFF"/>
                <w:sz w:val="18"/>
              </w:rPr>
              <w:t>Technical Implementation &amp; Rationale</w:t>
            </w:r>
          </w:p>
        </w:tc>
      </w:tr>
      <w:tr>
        <w:tc>
          <w:tcPr>
            <w:tcW w:type="dxa" w:w="2304"/>
            <w:shd w:fill="F8FAFC"/>
            <w:tcMar>
              <w:top w:w="80" w:type="dxa"/>
              <w:bottom w:w="80" w:type="dxa"/>
              <w:left w:w="110" w:type="dxa"/>
              <w:right w:w="110" w:type="dxa"/>
            </w:tcMar>
          </w:tcPr>
          <w:p>
            <w:r>
              <w:rPr>
                <w:rFonts w:ascii="Calibri" w:hAnsi="Calibri"/>
                <w:color w:val="0F172A"/>
                <w:sz w:val="17"/>
              </w:rPr>
              <w:t>Reactive Streamlit Framework</w:t>
            </w:r>
          </w:p>
        </w:tc>
        <w:tc>
          <w:tcPr>
            <w:tcW w:type="dxa" w:w="2592"/>
            <w:shd w:fill="F8FAFC"/>
            <w:tcMar>
              <w:top w:w="80" w:type="dxa"/>
              <w:bottom w:w="80" w:type="dxa"/>
              <w:left w:w="110" w:type="dxa"/>
              <w:right w:w="110" w:type="dxa"/>
            </w:tcMar>
          </w:tcPr>
          <w:p>
            <w:r>
              <w:rPr>
                <w:rFonts w:ascii="Calibri" w:hAnsi="Calibri"/>
                <w:color w:val="0F172A"/>
                <w:sz w:val="17"/>
              </w:rPr>
              <w:t>Streamlit 1.30+</w:t>
              <w:br/>
              <w:t>frontend/app.py</w:t>
              <w:br/>
              <w:t>frontend/student.py</w:t>
            </w:r>
          </w:p>
        </w:tc>
        <w:tc>
          <w:tcPr>
            <w:tcW w:type="dxa" w:w="4896"/>
            <w:shd w:fill="F8FAFC"/>
            <w:tcMar>
              <w:top w:w="80" w:type="dxa"/>
              <w:bottom w:w="80" w:type="dxa"/>
              <w:left w:w="110" w:type="dxa"/>
              <w:right w:w="110" w:type="dxa"/>
            </w:tcMar>
          </w:tcPr>
          <w:p>
            <w:r>
              <w:rPr>
                <w:rFonts w:ascii="Calibri" w:hAnsi="Calibri"/>
                <w:color w:val="0F172A"/>
                <w:sz w:val="17"/>
              </w:rPr>
              <w:t>Provides pure Python reactive state management without complex Node.js build pipelines. Utilizes st.session_state for student tracking and @st.cache_resource for zero-latency DB connections.</w:t>
            </w:r>
          </w:p>
        </w:tc>
      </w:tr>
      <w:tr>
        <w:tc>
          <w:tcPr>
            <w:tcW w:type="dxa" w:w="2304"/>
            <w:shd w:fill="FFFFFF"/>
            <w:tcMar>
              <w:top w:w="80" w:type="dxa"/>
              <w:bottom w:w="80" w:type="dxa"/>
              <w:left w:w="110" w:type="dxa"/>
              <w:right w:w="110" w:type="dxa"/>
            </w:tcMar>
          </w:tcPr>
          <w:p>
            <w:r>
              <w:rPr>
                <w:rFonts w:ascii="Calibri" w:hAnsi="Calibri"/>
                <w:color w:val="0F172A"/>
                <w:sz w:val="17"/>
              </w:rPr>
              <w:t>3D WebGL Holographic Universe</w:t>
            </w:r>
          </w:p>
        </w:tc>
        <w:tc>
          <w:tcPr>
            <w:tcW w:type="dxa" w:w="2592"/>
            <w:shd w:fill="FFFFFF"/>
            <w:tcMar>
              <w:top w:w="80" w:type="dxa"/>
              <w:bottom w:w="80" w:type="dxa"/>
              <w:left w:w="110" w:type="dxa"/>
              <w:right w:w="110" w:type="dxa"/>
            </w:tcMar>
          </w:tcPr>
          <w:p>
            <w:r>
              <w:rPr>
                <w:rFonts w:ascii="Calibri" w:hAnsi="Calibri"/>
                <w:color w:val="0F172A"/>
                <w:sz w:val="17"/>
              </w:rPr>
              <w:t>Three.js (r128)</w:t>
              <w:br/>
              <w:t>frontend/components/universe_3d.py</w:t>
            </w:r>
          </w:p>
        </w:tc>
        <w:tc>
          <w:tcPr>
            <w:tcW w:type="dxa" w:w="4896"/>
            <w:shd w:fill="FFFFFF"/>
            <w:tcMar>
              <w:top w:w="80" w:type="dxa"/>
              <w:bottom w:w="80" w:type="dxa"/>
              <w:left w:w="110" w:type="dxa"/>
              <w:right w:w="110" w:type="dxa"/>
            </w:tcMar>
          </w:tcPr>
          <w:p>
            <w:r>
              <w:rPr>
                <w:rFonts w:ascii="Calibri" w:hAnsi="Calibri"/>
                <w:color w:val="0F172A"/>
                <w:sz w:val="17"/>
              </w:rPr>
              <w:t>Embedded WebGL canvas rendered via streamlit.components.v1.html. Implements OrbitControls (360° orbit, scroll zoom), procedural celestial spheres, dynamic traveling laser pulse arcs, click-to-inspect raycasting, and live status colors.</w:t>
            </w:r>
          </w:p>
        </w:tc>
      </w:tr>
      <w:tr>
        <w:tc>
          <w:tcPr>
            <w:tcW w:type="dxa" w:w="2304"/>
            <w:shd w:fill="F8FAFC"/>
            <w:tcMar>
              <w:top w:w="80" w:type="dxa"/>
              <w:bottom w:w="80" w:type="dxa"/>
              <w:left w:w="110" w:type="dxa"/>
              <w:right w:w="110" w:type="dxa"/>
            </w:tcMar>
          </w:tcPr>
          <w:p>
            <w:r>
              <w:rPr>
                <w:rFonts w:ascii="Calibri" w:hAnsi="Calibri"/>
                <w:color w:val="0F172A"/>
                <w:sz w:val="17"/>
              </w:rPr>
              <w:t>Dark Glassmorphism Design System</w:t>
            </w:r>
          </w:p>
        </w:tc>
        <w:tc>
          <w:tcPr>
            <w:tcW w:type="dxa" w:w="2592"/>
            <w:shd w:fill="F8FAFC"/>
            <w:tcMar>
              <w:top w:w="80" w:type="dxa"/>
              <w:bottom w:w="80" w:type="dxa"/>
              <w:left w:w="110" w:type="dxa"/>
              <w:right w:w="110" w:type="dxa"/>
            </w:tcMar>
          </w:tcPr>
          <w:p>
            <w:r>
              <w:rPr>
                <w:rFonts w:ascii="Calibri" w:hAnsi="Calibri"/>
                <w:color w:val="0F172A"/>
                <w:sz w:val="17"/>
              </w:rPr>
              <w:t>Custom CSS3 / HTML5</w:t>
              <w:br/>
              <w:t>frontend/components/theme.py</w:t>
            </w:r>
          </w:p>
        </w:tc>
        <w:tc>
          <w:tcPr>
            <w:tcW w:type="dxa" w:w="4896"/>
            <w:shd w:fill="F8FAFC"/>
            <w:tcMar>
              <w:top w:w="80" w:type="dxa"/>
              <w:bottom w:w="80" w:type="dxa"/>
              <w:left w:w="110" w:type="dxa"/>
              <w:right w:w="110" w:type="dxa"/>
            </w:tcMar>
          </w:tcPr>
          <w:p>
            <w:r>
              <w:rPr>
                <w:rFonts w:ascii="Calibri" w:hAnsi="Calibri"/>
                <w:color w:val="0F172A"/>
                <w:sz w:val="17"/>
              </w:rPr>
              <w:t>Modern glass-card aesthetics with rgba(13, 19, 38, 0.75) backgrounds, 1px rgba(255, 255, 255, 0.08) borders, backdrop-filter blur(16px), Space Grotesk typography, and JetBrains Mono monospace formatting. Uses clean_html to prevent CommonMark code block conversion.</w:t>
            </w:r>
          </w:p>
        </w:tc>
      </w:tr>
      <w:tr>
        <w:tc>
          <w:tcPr>
            <w:tcW w:type="dxa" w:w="2304"/>
            <w:shd w:fill="FFFFFF"/>
            <w:tcMar>
              <w:top w:w="80" w:type="dxa"/>
              <w:bottom w:w="80" w:type="dxa"/>
              <w:left w:w="110" w:type="dxa"/>
              <w:right w:w="110" w:type="dxa"/>
            </w:tcMar>
          </w:tcPr>
          <w:p>
            <w:r>
              <w:rPr>
                <w:rFonts w:ascii="Calibri" w:hAnsi="Calibri"/>
                <w:color w:val="0F172A"/>
                <w:sz w:val="17"/>
              </w:rPr>
              <w:t>Interactive Question Runner</w:t>
            </w:r>
          </w:p>
        </w:tc>
        <w:tc>
          <w:tcPr>
            <w:tcW w:type="dxa" w:w="2592"/>
            <w:shd w:fill="FFFFFF"/>
            <w:tcMar>
              <w:top w:w="80" w:type="dxa"/>
              <w:bottom w:w="80" w:type="dxa"/>
              <w:left w:w="110" w:type="dxa"/>
              <w:right w:w="110" w:type="dxa"/>
            </w:tcMar>
          </w:tcPr>
          <w:p>
            <w:r>
              <w:rPr>
                <w:rFonts w:ascii="Calibri" w:hAnsi="Calibri"/>
                <w:color w:val="0F172A"/>
                <w:sz w:val="17"/>
              </w:rPr>
              <w:t>frontend/components/question_runner.py</w:t>
            </w:r>
          </w:p>
        </w:tc>
        <w:tc>
          <w:tcPr>
            <w:tcW w:type="dxa" w:w="4896"/>
            <w:shd w:fill="FFFFFF"/>
            <w:tcMar>
              <w:top w:w="80" w:type="dxa"/>
              <w:bottom w:w="80" w:type="dxa"/>
              <w:left w:w="110" w:type="dxa"/>
              <w:right w:w="110" w:type="dxa"/>
            </w:tcMar>
          </w:tcPr>
          <w:p>
            <w:r>
              <w:rPr>
                <w:rFonts w:ascii="Calibri" w:hAnsi="Calibri"/>
                <w:color w:val="0F172A"/>
                <w:sz w:val="17"/>
              </w:rPr>
              <w:t>Renders mathematical word problems, custom LaTeX fraction expressions, 1-click answer chips, 3-tier progressive hint disclosure, response latency timers, and confidence selectors.</w:t>
            </w:r>
          </w:p>
        </w:tc>
      </w:tr>
      <w:tr>
        <w:tc>
          <w:tcPr>
            <w:tcW w:type="dxa" w:w="2304"/>
            <w:shd w:fill="F8FAFC"/>
            <w:tcMar>
              <w:top w:w="80" w:type="dxa"/>
              <w:bottom w:w="80" w:type="dxa"/>
              <w:left w:w="110" w:type="dxa"/>
              <w:right w:w="110" w:type="dxa"/>
            </w:tcMar>
          </w:tcPr>
          <w:p>
            <w:r>
              <w:rPr>
                <w:rFonts w:ascii="Calibri" w:hAnsi="Calibri"/>
                <w:color w:val="0F172A"/>
                <w:sz w:val="17"/>
              </w:rPr>
              <w:t>Glass-Box HUD &amp; Telemetry Cards</w:t>
            </w:r>
          </w:p>
        </w:tc>
        <w:tc>
          <w:tcPr>
            <w:tcW w:type="dxa" w:w="2592"/>
            <w:shd w:fill="F8FAFC"/>
            <w:tcMar>
              <w:top w:w="80" w:type="dxa"/>
              <w:bottom w:w="80" w:type="dxa"/>
              <w:left w:w="110" w:type="dxa"/>
              <w:right w:w="110" w:type="dxa"/>
            </w:tcMar>
          </w:tcPr>
          <w:p>
            <w:r>
              <w:rPr>
                <w:rFonts w:ascii="Calibri" w:hAnsi="Calibri"/>
                <w:color w:val="0F172A"/>
                <w:sz w:val="17"/>
              </w:rPr>
              <w:t>frontend/components/glassbox_card.py</w:t>
              <w:br/>
              <w:t>frontend/components/telemetry_card.py</w:t>
            </w:r>
          </w:p>
        </w:tc>
        <w:tc>
          <w:tcPr>
            <w:tcW w:type="dxa" w:w="4896"/>
            <w:shd w:fill="F8FAFC"/>
            <w:tcMar>
              <w:top w:w="80" w:type="dxa"/>
              <w:bottom w:w="80" w:type="dxa"/>
              <w:left w:w="110" w:type="dxa"/>
              <w:right w:w="110" w:type="dxa"/>
            </w:tcMar>
          </w:tcPr>
          <w:p>
            <w:r>
              <w:rPr>
                <w:rFonts w:ascii="Calibri" w:hAnsi="Calibri"/>
                <w:color w:val="0F172A"/>
                <w:sz w:val="17"/>
              </w:rPr>
              <w:t>Renders the 'Why This Next?' explainability badge, rule trigger identifiers, and post-submission telemetry breakdowns (Δp shifts, evidence weight w, latency analysis, and misconception flags).</w:t>
            </w:r>
          </w:p>
        </w:tc>
      </w:tr>
      <w:tr>
        <w:tc>
          <w:tcPr>
            <w:tcW w:type="dxa" w:w="2304"/>
            <w:shd w:fill="FFFFFF"/>
            <w:tcMar>
              <w:top w:w="80" w:type="dxa"/>
              <w:bottom w:w="80" w:type="dxa"/>
              <w:left w:w="110" w:type="dxa"/>
              <w:right w:w="110" w:type="dxa"/>
            </w:tcMar>
          </w:tcPr>
          <w:p>
            <w:r>
              <w:rPr>
                <w:rFonts w:ascii="Calibri" w:hAnsi="Calibri"/>
                <w:color w:val="0F172A"/>
                <w:sz w:val="17"/>
              </w:rPr>
              <w:t>Cohort Heatmap Matrix</w:t>
            </w:r>
          </w:p>
        </w:tc>
        <w:tc>
          <w:tcPr>
            <w:tcW w:type="dxa" w:w="2592"/>
            <w:shd w:fill="FFFFFF"/>
            <w:tcMar>
              <w:top w:w="80" w:type="dxa"/>
              <w:bottom w:w="80" w:type="dxa"/>
              <w:left w:w="110" w:type="dxa"/>
              <w:right w:w="110" w:type="dxa"/>
            </w:tcMar>
          </w:tcPr>
          <w:p>
            <w:r>
              <w:rPr>
                <w:rFonts w:ascii="Calibri" w:hAnsi="Calibri"/>
                <w:color w:val="0F172A"/>
                <w:sz w:val="17"/>
              </w:rPr>
              <w:t>frontend/components/heatmap.py</w:t>
              <w:br/>
              <w:t>frontend/teacher.py</w:t>
            </w:r>
          </w:p>
        </w:tc>
        <w:tc>
          <w:tcPr>
            <w:tcW w:type="dxa" w:w="4896"/>
            <w:shd w:fill="FFFFFF"/>
            <w:tcMar>
              <w:top w:w="80" w:type="dxa"/>
              <w:bottom w:w="80" w:type="dxa"/>
              <w:left w:w="110" w:type="dxa"/>
              <w:right w:w="110" w:type="dxa"/>
            </w:tcMar>
          </w:tcPr>
          <w:p>
            <w:r>
              <w:rPr>
                <w:rFonts w:ascii="Calibri" w:hAnsi="Calibri"/>
                <w:color w:val="0F172A"/>
                <w:sz w:val="17"/>
              </w:rPr>
              <w:t>Renders an interactive N x 10 student-by-concept color-coded matrix with tooltips, class averages, and automated systemic bottleneck indicators.</w:t>
            </w:r>
          </w:p>
        </w:tc>
      </w:tr>
    </w:tbl>
    <w:p>
      <w:pPr>
        <w:spacing w:after="120"/>
      </w:pPr>
    </w:p>
    <w:p>
      <w:pPr>
        <w:pStyle w:val="Heading1"/>
      </w:pPr>
      <w:r>
        <w:t>3. Backend Architecture &amp; Cognitive Decision Engine</w:t>
      </w:r>
    </w:p>
    <w:p>
      <w:r>
        <w:rPr>
          <w:sz w:val="20"/>
        </w:rPr>
        <w:t>The backend is a pure algorithmic, zero-hallucination decision engine designed in pure Python. It combines psychometric knowledge tracing, information theory, and graph invariants.</w:t>
      </w:r>
    </w:p>
    <w:tbl>
      <w:tblPr>
        <w:tblW w:type="auto" w:w="0"/>
        <w:jc w:val="center"/>
        <w:tblLook w:firstColumn="1" w:firstRow="1" w:lastColumn="0" w:lastRow="0" w:noHBand="0" w:noVBand="1" w:val="04A0"/>
      </w:tblPr>
      <w:tblGrid>
        <w:gridCol w:w="3312"/>
        <w:gridCol w:w="3312"/>
        <w:gridCol w:w="3312"/>
      </w:tblGrid>
      <w:tr>
        <w:tc>
          <w:tcPr>
            <w:tcW w:type="dxa" w:w="2304"/>
            <w:shd w:fill="0F172A"/>
            <w:tcMar>
              <w:top w:w="100" w:type="dxa"/>
              <w:bottom w:w="100" w:type="dxa"/>
              <w:left w:w="110" w:type="dxa"/>
              <w:right w:w="110" w:type="dxa"/>
            </w:tcMar>
          </w:tcPr>
          <w:p>
            <w:r>
              <w:rPr>
                <w:rFonts w:ascii="Calibri" w:hAnsi="Calibri"/>
                <w:b/>
                <w:color w:val="FFFFFF"/>
                <w:sz w:val="18"/>
              </w:rPr>
              <w:t>Engine Module</w:t>
            </w:r>
          </w:p>
        </w:tc>
        <w:tc>
          <w:tcPr>
            <w:tcW w:type="dxa" w:w="2880"/>
            <w:shd w:fill="0F172A"/>
            <w:tcMar>
              <w:top w:w="100" w:type="dxa"/>
              <w:bottom w:w="100" w:type="dxa"/>
              <w:left w:w="110" w:type="dxa"/>
              <w:right w:w="110" w:type="dxa"/>
            </w:tcMar>
          </w:tcPr>
          <w:p>
            <w:r>
              <w:rPr>
                <w:rFonts w:ascii="Calibri" w:hAnsi="Calibri"/>
                <w:b/>
                <w:color w:val="FFFFFF"/>
                <w:sz w:val="18"/>
              </w:rPr>
              <w:t>Mathematical Model / Algorithm</w:t>
            </w:r>
          </w:p>
        </w:tc>
        <w:tc>
          <w:tcPr>
            <w:tcW w:type="dxa" w:w="4608"/>
            <w:shd w:fill="0F172A"/>
            <w:tcMar>
              <w:top w:w="100" w:type="dxa"/>
              <w:bottom w:w="100" w:type="dxa"/>
              <w:left w:w="110" w:type="dxa"/>
              <w:right w:w="110" w:type="dxa"/>
            </w:tcMar>
          </w:tcPr>
          <w:p>
            <w:r>
              <w:rPr>
                <w:rFonts w:ascii="Calibri" w:hAnsi="Calibri"/>
                <w:b/>
                <w:color w:val="FFFFFF"/>
                <w:sz w:val="18"/>
              </w:rPr>
              <w:t>Pedagogical Purpose &amp; Implementation</w:t>
            </w:r>
          </w:p>
        </w:tc>
      </w:tr>
      <w:tr>
        <w:tc>
          <w:tcPr>
            <w:tcW w:type="dxa" w:w="2304"/>
            <w:shd w:fill="F8FAFC"/>
            <w:tcMar>
              <w:top w:w="80" w:type="dxa"/>
              <w:bottom w:w="80" w:type="dxa"/>
              <w:left w:w="110" w:type="dxa"/>
              <w:right w:w="110" w:type="dxa"/>
            </w:tcMar>
          </w:tcPr>
          <w:p>
            <w:r>
              <w:rPr>
                <w:rFonts w:ascii="Calibri" w:hAnsi="Calibri"/>
                <w:color w:val="0F172A"/>
                <w:sz w:val="17"/>
              </w:rPr>
              <w:t>Bayesian Knowledge Tracing (BKT)</w:t>
            </w:r>
          </w:p>
        </w:tc>
        <w:tc>
          <w:tcPr>
            <w:tcW w:type="dxa" w:w="2880"/>
            <w:shd w:fill="F8FAFC"/>
            <w:tcMar>
              <w:top w:w="80" w:type="dxa"/>
              <w:bottom w:w="80" w:type="dxa"/>
              <w:left w:w="110" w:type="dxa"/>
              <w:right w:w="110" w:type="dxa"/>
            </w:tcMar>
          </w:tcPr>
          <w:p>
            <w:r>
              <w:rPr>
                <w:rFonts w:ascii="Calibri" w:hAnsi="Calibri"/>
                <w:color w:val="0F172A"/>
                <w:sz w:val="17"/>
              </w:rPr>
              <w:t>P(L_t) = P(L|Obs) + (1 - P(L|Obs))*P(T)</w:t>
              <w:br/>
              <w:t>Standard Error: σ = sqrt(p*(1-p)/N)</w:t>
              <w:br/>
              <w:t>backend/engine/mastery.py</w:t>
            </w:r>
          </w:p>
        </w:tc>
        <w:tc>
          <w:tcPr>
            <w:tcW w:type="dxa" w:w="4608"/>
            <w:shd w:fill="F8FAFC"/>
            <w:tcMar>
              <w:top w:w="80" w:type="dxa"/>
              <w:bottom w:w="80" w:type="dxa"/>
              <w:left w:w="110" w:type="dxa"/>
              <w:right w:w="110" w:type="dxa"/>
            </w:tcMar>
          </w:tcPr>
          <w:p>
            <w:r>
              <w:rPr>
                <w:rFonts w:ascii="Calibri" w:hAnsi="Calibri"/>
                <w:color w:val="0F172A"/>
                <w:sz w:val="17"/>
              </w:rPr>
              <w:t>Tracks latent concept mastery probability p in [0, 1]. Updates belief based on problem difficulty d, slip probability s=0.10, guess probability g=0.20, and evidence weight w. Ensures robust estimation against lucky guesses.</w:t>
            </w:r>
          </w:p>
        </w:tc>
      </w:tr>
      <w:tr>
        <w:tc>
          <w:tcPr>
            <w:tcW w:type="dxa" w:w="2304"/>
            <w:shd w:fill="FFFFFF"/>
            <w:tcMar>
              <w:top w:w="80" w:type="dxa"/>
              <w:bottom w:w="80" w:type="dxa"/>
              <w:left w:w="110" w:type="dxa"/>
              <w:right w:w="110" w:type="dxa"/>
            </w:tcMar>
          </w:tcPr>
          <w:p>
            <w:r>
              <w:rPr>
                <w:rFonts w:ascii="Calibri" w:hAnsi="Calibri"/>
                <w:color w:val="0F172A"/>
                <w:sz w:val="17"/>
              </w:rPr>
              <w:t>Multi-Signal Evidence Weighting (w)</w:t>
            </w:r>
          </w:p>
        </w:tc>
        <w:tc>
          <w:tcPr>
            <w:tcW w:type="dxa" w:w="2880"/>
            <w:shd w:fill="FFFFFF"/>
            <w:tcMar>
              <w:top w:w="80" w:type="dxa"/>
              <w:bottom w:w="80" w:type="dxa"/>
              <w:left w:w="110" w:type="dxa"/>
              <w:right w:w="110" w:type="dxa"/>
            </w:tcMar>
          </w:tcPr>
          <w:p>
            <w:r>
              <w:rPr>
                <w:rFonts w:ascii="Calibri" w:hAnsi="Calibri"/>
                <w:color w:val="0F172A"/>
                <w:sz w:val="17"/>
              </w:rPr>
              <w:t>w = w_hints * w_time * w_retry * w_conf</w:t>
              <w:br/>
              <w:t>Clamp: w = 0.00 if time &lt; 3.0s</w:t>
              <w:br/>
              <w:t>backend/engine/weights.py</w:t>
            </w:r>
          </w:p>
        </w:tc>
        <w:tc>
          <w:tcPr>
            <w:tcW w:type="dxa" w:w="4608"/>
            <w:shd w:fill="FFFFFF"/>
            <w:tcMar>
              <w:top w:w="80" w:type="dxa"/>
              <w:bottom w:w="80" w:type="dxa"/>
              <w:left w:w="110" w:type="dxa"/>
              <w:right w:w="110" w:type="dxa"/>
            </w:tcMar>
          </w:tcPr>
          <w:p>
            <w:r>
              <w:rPr>
                <w:rFonts w:ascii="Calibri" w:hAnsi="Calibri"/>
                <w:color w:val="0F172A"/>
                <w:sz w:val="17"/>
              </w:rPr>
              <w:t>Combines response latency, hints used (1 hint -&gt; 0.6x, 2 hints -&gt; 0.35x), retry gap (&lt;15s penalty), and metacognitive confidence to scale Bayesian updates. Prevents brute-force guessing and gaming.</w:t>
            </w:r>
          </w:p>
        </w:tc>
      </w:tr>
      <w:tr>
        <w:tc>
          <w:tcPr>
            <w:tcW w:type="dxa" w:w="2304"/>
            <w:shd w:fill="F8FAFC"/>
            <w:tcMar>
              <w:top w:w="80" w:type="dxa"/>
              <w:bottom w:w="80" w:type="dxa"/>
              <w:left w:w="110" w:type="dxa"/>
              <w:right w:w="110" w:type="dxa"/>
            </w:tcMar>
          </w:tcPr>
          <w:p>
            <w:r>
              <w:rPr>
                <w:rFonts w:ascii="Calibri" w:hAnsi="Calibri"/>
                <w:color w:val="0F172A"/>
                <w:sz w:val="17"/>
              </w:rPr>
              <w:t>Prerequisite DAG Invariant Capping</w:t>
            </w:r>
          </w:p>
        </w:tc>
        <w:tc>
          <w:tcPr>
            <w:tcW w:type="dxa" w:w="2880"/>
            <w:shd w:fill="F8FAFC"/>
            <w:tcMar>
              <w:top w:w="80" w:type="dxa"/>
              <w:bottom w:w="80" w:type="dxa"/>
              <w:left w:w="110" w:type="dxa"/>
              <w:right w:w="110" w:type="dxa"/>
            </w:tcMar>
          </w:tcPr>
          <w:p>
            <w:r>
              <w:rPr>
                <w:rFonts w:ascii="Calibri" w:hAnsi="Calibri"/>
                <w:color w:val="0F172A"/>
                <w:sz w:val="17"/>
              </w:rPr>
              <w:t>P_eff(u) &lt;= min(P_raw(u), min_{v in prereq}(P_eff(v) + Δ))</w:t>
              <w:br/>
              <w:t>backend/engine/graph.py</w:t>
            </w:r>
          </w:p>
        </w:tc>
        <w:tc>
          <w:tcPr>
            <w:tcW w:type="dxa" w:w="4608"/>
            <w:shd w:fill="F8FAFC"/>
            <w:tcMar>
              <w:top w:w="80" w:type="dxa"/>
              <w:bottom w:w="80" w:type="dxa"/>
              <w:left w:w="110" w:type="dxa"/>
              <w:right w:w="110" w:type="dxa"/>
            </w:tcMar>
          </w:tcPr>
          <w:p>
            <w:r>
              <w:rPr>
                <w:rFonts w:ascii="Calibri" w:hAnsi="Calibri"/>
                <w:color w:val="0F172A"/>
                <w:sz w:val="17"/>
              </w:rPr>
              <w:t>Enforces mathematical prerequisite hierarchy across the 10-node curriculum graph. If upstream prerequisite C2 collapses to 35%, downstream C4/C7 is capped to prevent advancing on broken foundations.</w:t>
            </w:r>
          </w:p>
        </w:tc>
      </w:tr>
      <w:tr>
        <w:tc>
          <w:tcPr>
            <w:tcW w:type="dxa" w:w="2304"/>
            <w:shd w:fill="FFFFFF"/>
            <w:tcMar>
              <w:top w:w="80" w:type="dxa"/>
              <w:bottom w:w="80" w:type="dxa"/>
              <w:left w:w="110" w:type="dxa"/>
              <w:right w:w="110" w:type="dxa"/>
            </w:tcMar>
          </w:tcPr>
          <w:p>
            <w:r>
              <w:rPr>
                <w:rFonts w:ascii="Calibri" w:hAnsi="Calibri"/>
                <w:color w:val="0F172A"/>
                <w:sz w:val="17"/>
              </w:rPr>
              <w:t>Ebbinghaus Forgetting Curve</w:t>
            </w:r>
          </w:p>
        </w:tc>
        <w:tc>
          <w:tcPr>
            <w:tcW w:type="dxa" w:w="2880"/>
            <w:shd w:fill="FFFFFF"/>
            <w:tcMar>
              <w:top w:w="80" w:type="dxa"/>
              <w:bottom w:w="80" w:type="dxa"/>
              <w:left w:w="110" w:type="dxa"/>
              <w:right w:w="110" w:type="dxa"/>
            </w:tcMar>
          </w:tcPr>
          <w:p>
            <w:r>
              <w:rPr>
                <w:rFonts w:ascii="Calibri" w:hAnsi="Calibri"/>
                <w:color w:val="0F172A"/>
                <w:sz w:val="17"/>
              </w:rPr>
              <w:t>R(t) = P_floor + (P_base - P_floor) * exp(-t / S)</w:t>
              <w:br/>
              <w:t>backend/engine/decay.py</w:t>
            </w:r>
          </w:p>
        </w:tc>
        <w:tc>
          <w:tcPr>
            <w:tcW w:type="dxa" w:w="4608"/>
            <w:shd w:fill="FFFFFF"/>
            <w:tcMar>
              <w:top w:w="80" w:type="dxa"/>
              <w:bottom w:w="80" w:type="dxa"/>
              <w:left w:w="110" w:type="dxa"/>
              <w:right w:w="110" w:type="dxa"/>
            </w:tcMar>
          </w:tcPr>
          <w:p>
            <w:r>
              <w:rPr>
                <w:rFonts w:ascii="Calibri" w:hAnsi="Calibri"/>
                <w:color w:val="0F172A"/>
                <w:sz w:val="17"/>
              </w:rPr>
              <w:t>Models longitudinal retention decay over inactive days. Stability S increases with successful retrieval. If retention drops below 60%, Rule 3 triggers Spaced Review instead of full reset.</w:t>
            </w:r>
          </w:p>
        </w:tc>
      </w:tr>
      <w:tr>
        <w:tc>
          <w:tcPr>
            <w:tcW w:type="dxa" w:w="2304"/>
            <w:shd w:fill="F8FAFC"/>
            <w:tcMar>
              <w:top w:w="80" w:type="dxa"/>
              <w:bottom w:w="80" w:type="dxa"/>
              <w:left w:w="110" w:type="dxa"/>
              <w:right w:w="110" w:type="dxa"/>
            </w:tcMar>
          </w:tcPr>
          <w:p>
            <w:r>
              <w:rPr>
                <w:rFonts w:ascii="Calibri" w:hAnsi="Calibri"/>
                <w:color w:val="0F172A"/>
                <w:sz w:val="17"/>
              </w:rPr>
              <w:t>Maximum Uncertainty Cold-Start</w:t>
            </w:r>
          </w:p>
        </w:tc>
        <w:tc>
          <w:tcPr>
            <w:tcW w:type="dxa" w:w="2880"/>
            <w:shd w:fill="F8FAFC"/>
            <w:tcMar>
              <w:top w:w="80" w:type="dxa"/>
              <w:bottom w:w="80" w:type="dxa"/>
              <w:left w:w="110" w:type="dxa"/>
              <w:right w:w="110" w:type="dxa"/>
            </w:tcMar>
          </w:tcPr>
          <w:p>
            <w:r>
              <w:rPr>
                <w:rFonts w:ascii="Calibri" w:hAnsi="Calibri"/>
                <w:color w:val="0F172A"/>
                <w:sz w:val="17"/>
              </w:rPr>
              <w:t>Entropy: H(p) = -p*log2(p) - (1-p)*log2(1-p)</w:t>
              <w:br/>
              <w:t>Hub Selection &amp; Propagation (0.3*w)</w:t>
              <w:br/>
              <w:t>backend/engine/coldstart.py</w:t>
            </w:r>
          </w:p>
        </w:tc>
        <w:tc>
          <w:tcPr>
            <w:tcW w:type="dxa" w:w="4608"/>
            <w:shd w:fill="F8FAFC"/>
            <w:tcMar>
              <w:top w:w="80" w:type="dxa"/>
              <w:bottom w:w="80" w:type="dxa"/>
              <w:left w:w="110" w:type="dxa"/>
              <w:right w:w="110" w:type="dxa"/>
            </w:tcMar>
          </w:tcPr>
          <w:p>
            <w:r>
              <w:rPr>
                <w:rFonts w:ascii="Calibri" w:hAnsi="Calibri"/>
                <w:color w:val="0F172A"/>
                <w:sz w:val="17"/>
              </w:rPr>
              <w:t>Selects 6 diagnostic questions from central topological hub nodes maximizing information gain. Propagates evidence bidirectionally across DAG edges to calibrate prior vectors rapidly.</w:t>
            </w:r>
          </w:p>
        </w:tc>
      </w:tr>
      <w:tr>
        <w:tc>
          <w:tcPr>
            <w:tcW w:type="dxa" w:w="2304"/>
            <w:shd w:fill="FFFFFF"/>
            <w:tcMar>
              <w:top w:w="80" w:type="dxa"/>
              <w:bottom w:w="80" w:type="dxa"/>
              <w:left w:w="110" w:type="dxa"/>
              <w:right w:w="110" w:type="dxa"/>
            </w:tcMar>
          </w:tcPr>
          <w:p>
            <w:r>
              <w:rPr>
                <w:rFonts w:ascii="Calibri" w:hAnsi="Calibri"/>
                <w:color w:val="0F172A"/>
                <w:sz w:val="17"/>
              </w:rPr>
              <w:t>Deterministic 6-Rule Hierarchy</w:t>
            </w:r>
          </w:p>
        </w:tc>
        <w:tc>
          <w:tcPr>
            <w:tcW w:type="dxa" w:w="2880"/>
            <w:shd w:fill="FFFFFF"/>
            <w:tcMar>
              <w:top w:w="80" w:type="dxa"/>
              <w:bottom w:w="80" w:type="dxa"/>
              <w:left w:w="110" w:type="dxa"/>
              <w:right w:w="110" w:type="dxa"/>
            </w:tcMar>
          </w:tcPr>
          <w:p>
            <w:r>
              <w:rPr>
                <w:rFonts w:ascii="Calibri" w:hAnsi="Calibri"/>
                <w:color w:val="0F172A"/>
                <w:sz w:val="17"/>
              </w:rPr>
              <w:t>Priority 1: Teacher Override</w:t>
              <w:br/>
              <w:t>Priority 2: Stuck Escalation (3 cycles)</w:t>
              <w:br/>
              <w:t>Priority 3: Prereq Repair (p_eff &lt; 0.55)</w:t>
              <w:br/>
              <w:t>Priority 4: Spaced Review (decay &lt; 0.60)</w:t>
              <w:br/>
              <w:t>Priority 5: Practice in ZPD (p_eff &lt; 0.85)</w:t>
              <w:br/>
              <w:t>Priority 6: Advance Frontier (p_eff &gt;= 0.85)</w:t>
              <w:br/>
              <w:t>backend/engine/decide.py</w:t>
            </w:r>
          </w:p>
        </w:tc>
        <w:tc>
          <w:tcPr>
            <w:tcW w:type="dxa" w:w="4608"/>
            <w:shd w:fill="FFFFFF"/>
            <w:tcMar>
              <w:top w:w="80" w:type="dxa"/>
              <w:bottom w:w="80" w:type="dxa"/>
              <w:left w:w="110" w:type="dxa"/>
              <w:right w:w="110" w:type="dxa"/>
            </w:tcMar>
          </w:tcPr>
          <w:p>
            <w:r>
              <w:rPr>
                <w:rFonts w:ascii="Calibri" w:hAnsi="Calibri"/>
                <w:color w:val="0F172A"/>
                <w:sz w:val="17"/>
              </w:rPr>
              <w:t>Pure deterministic rule cascade. Evaluates learner state against 6 strict priority rules. Generates human-readable pedagogical rationale and zero-hallucination execution proofs.</w:t>
            </w:r>
          </w:p>
        </w:tc>
      </w:tr>
      <w:tr>
        <w:tc>
          <w:tcPr>
            <w:tcW w:type="dxa" w:w="2304"/>
            <w:shd w:fill="F8FAFC"/>
            <w:tcMar>
              <w:top w:w="80" w:type="dxa"/>
              <w:bottom w:w="80" w:type="dxa"/>
              <w:left w:w="110" w:type="dxa"/>
              <w:right w:w="110" w:type="dxa"/>
            </w:tcMar>
          </w:tcPr>
          <w:p>
            <w:r>
              <w:rPr>
                <w:rFonts w:ascii="Calibri" w:hAnsi="Calibri"/>
                <w:color w:val="0F172A"/>
                <w:sz w:val="17"/>
              </w:rPr>
              <w:t>Test 8 Reproducibility Proofs</w:t>
            </w:r>
          </w:p>
        </w:tc>
        <w:tc>
          <w:tcPr>
            <w:tcW w:type="dxa" w:w="2880"/>
            <w:shd w:fill="F8FAFC"/>
            <w:tcMar>
              <w:top w:w="80" w:type="dxa"/>
              <w:bottom w:w="80" w:type="dxa"/>
              <w:left w:w="110" w:type="dxa"/>
              <w:right w:w="110" w:type="dxa"/>
            </w:tcMar>
          </w:tcPr>
          <w:p>
            <w:r>
              <w:rPr>
                <w:rFonts w:ascii="Calibri" w:hAnsi="Calibri"/>
                <w:color w:val="0F172A"/>
                <w:sz w:val="17"/>
              </w:rPr>
              <w:t>reconstruct_decision_from_snapshot()</w:t>
              <w:br/>
              <w:t>backend/engine/decide.py</w:t>
            </w:r>
          </w:p>
        </w:tc>
        <w:tc>
          <w:tcPr>
            <w:tcW w:type="dxa" w:w="4608"/>
            <w:shd w:fill="F8FAFC"/>
            <w:tcMar>
              <w:top w:w="80" w:type="dxa"/>
              <w:bottom w:w="80" w:type="dxa"/>
              <w:left w:w="110" w:type="dxa"/>
              <w:right w:w="110" w:type="dxa"/>
            </w:tcMar>
          </w:tcPr>
          <w:p>
            <w:r>
              <w:rPr>
                <w:rFonts w:ascii="Calibri" w:hAnsi="Calibri"/>
                <w:color w:val="0F172A"/>
                <w:sz w:val="17"/>
              </w:rPr>
              <w:t>Serializes state vector into JSON inputs_snapshot. Re-running the decision engine reproduces 100% identical actions, target nodes, and rules with 0.00% variance.</w:t>
            </w:r>
          </w:p>
        </w:tc>
      </w:tr>
    </w:tbl>
    <w:p>
      <w:r>
        <w:br w:type="page"/>
      </w:r>
    </w:p>
    <w:p>
      <w:pPr>
        <w:pStyle w:val="Heading1"/>
      </w:pPr>
      <w:r>
        <w:t>4. Database Layer &amp; Persistence (SQLite 9 Relational Tables)</w:t>
      </w:r>
    </w:p>
    <w:p>
      <w:r>
        <w:rPr>
          <w:sz w:val="20"/>
        </w:rPr>
        <w:t>Persistence is powered by an ACID-compliant SQLite relational database (masteryflow.db) managed via backend/api/db.py. It contains 9 structured tables with foreign keys and parameterized queries:</w:t>
      </w:r>
    </w:p>
    <w:tbl>
      <w:tblPr>
        <w:tblW w:type="auto" w:w="0"/>
        <w:jc w:val="center"/>
        <w:tblLook w:firstColumn="1" w:firstRow="1" w:lastColumn="0" w:lastRow="0" w:noHBand="0" w:noVBand="1" w:val="04A0"/>
      </w:tblPr>
      <w:tblGrid>
        <w:gridCol w:w="3312"/>
        <w:gridCol w:w="3312"/>
        <w:gridCol w:w="3312"/>
      </w:tblGrid>
      <w:tr>
        <w:tc>
          <w:tcPr>
            <w:tcW w:type="dxa" w:w="2592"/>
            <w:shd w:fill="0F172A"/>
            <w:tcMar>
              <w:top w:w="100" w:type="dxa"/>
              <w:bottom w:w="100" w:type="dxa"/>
              <w:left w:w="110" w:type="dxa"/>
              <w:right w:w="110" w:type="dxa"/>
            </w:tcMar>
          </w:tcPr>
          <w:p>
            <w:r>
              <w:rPr>
                <w:rFonts w:ascii="Calibri" w:hAnsi="Calibri"/>
                <w:b/>
                <w:color w:val="FFFFFF"/>
                <w:sz w:val="18"/>
              </w:rPr>
              <w:t>Table Name</w:t>
            </w:r>
          </w:p>
        </w:tc>
        <w:tc>
          <w:tcPr>
            <w:tcW w:type="dxa" w:w="3456"/>
            <w:shd w:fill="0F172A"/>
            <w:tcMar>
              <w:top w:w="100" w:type="dxa"/>
              <w:bottom w:w="100" w:type="dxa"/>
              <w:left w:w="110" w:type="dxa"/>
              <w:right w:w="110" w:type="dxa"/>
            </w:tcMar>
          </w:tcPr>
          <w:p>
            <w:r>
              <w:rPr>
                <w:rFonts w:ascii="Calibri" w:hAnsi="Calibri"/>
                <w:b/>
                <w:color w:val="FFFFFF"/>
                <w:sz w:val="18"/>
              </w:rPr>
              <w:t>Key Columns &amp; Schema</w:t>
            </w:r>
          </w:p>
        </w:tc>
        <w:tc>
          <w:tcPr>
            <w:tcW w:type="dxa" w:w="3744"/>
            <w:shd w:fill="0F172A"/>
            <w:tcMar>
              <w:top w:w="100" w:type="dxa"/>
              <w:bottom w:w="100" w:type="dxa"/>
              <w:left w:w="110" w:type="dxa"/>
              <w:right w:w="110" w:type="dxa"/>
            </w:tcMar>
          </w:tcPr>
          <w:p>
            <w:r>
              <w:rPr>
                <w:rFonts w:ascii="Calibri" w:hAnsi="Calibri"/>
                <w:b/>
                <w:color w:val="FFFFFF"/>
                <w:sz w:val="18"/>
              </w:rPr>
              <w:t>Functional Purpose in Platform</w:t>
            </w:r>
          </w:p>
        </w:tc>
      </w:tr>
      <w:tr>
        <w:tc>
          <w:tcPr>
            <w:tcW w:type="dxa" w:w="2592"/>
            <w:shd w:fill="F8FAFC"/>
            <w:tcMar>
              <w:top w:w="80" w:type="dxa"/>
              <w:bottom w:w="80" w:type="dxa"/>
              <w:left w:w="110" w:type="dxa"/>
              <w:right w:w="110" w:type="dxa"/>
            </w:tcMar>
          </w:tcPr>
          <w:p>
            <w:r>
              <w:rPr>
                <w:rFonts w:ascii="Calibri" w:hAnsi="Calibri"/>
                <w:color w:val="0F172A"/>
                <w:sz w:val="17"/>
              </w:rPr>
              <w:t>students</w:t>
            </w:r>
          </w:p>
        </w:tc>
        <w:tc>
          <w:tcPr>
            <w:tcW w:type="dxa" w:w="3456"/>
            <w:shd w:fill="F8FAFC"/>
            <w:tcMar>
              <w:top w:w="80" w:type="dxa"/>
              <w:bottom w:w="80" w:type="dxa"/>
              <w:left w:w="110" w:type="dxa"/>
              <w:right w:w="110" w:type="dxa"/>
            </w:tcMar>
          </w:tcPr>
          <w:p>
            <w:r>
              <w:rPr>
                <w:rFonts w:ascii="Calibri" w:hAnsi="Calibri"/>
                <w:color w:val="0F172A"/>
                <w:sz w:val="17"/>
              </w:rPr>
              <w:t>student_id (PK), name, created_at, active_concept_id, streak, best_streak</w:t>
            </w:r>
          </w:p>
        </w:tc>
        <w:tc>
          <w:tcPr>
            <w:tcW w:type="dxa" w:w="3744"/>
            <w:shd w:fill="F8FAFC"/>
            <w:tcMar>
              <w:top w:w="80" w:type="dxa"/>
              <w:bottom w:w="80" w:type="dxa"/>
              <w:left w:w="110" w:type="dxa"/>
              <w:right w:w="110" w:type="dxa"/>
            </w:tcMar>
          </w:tcPr>
          <w:p>
            <w:r>
              <w:rPr>
                <w:rFonts w:ascii="Calibri" w:hAnsi="Calibri"/>
                <w:color w:val="0F172A"/>
                <w:sz w:val="17"/>
              </w:rPr>
              <w:t>Stores registered student profiles, current active concept focus, and streak statistics.</w:t>
            </w:r>
          </w:p>
        </w:tc>
      </w:tr>
      <w:tr>
        <w:tc>
          <w:tcPr>
            <w:tcW w:type="dxa" w:w="2592"/>
            <w:shd w:fill="FFFFFF"/>
            <w:tcMar>
              <w:top w:w="80" w:type="dxa"/>
              <w:bottom w:w="80" w:type="dxa"/>
              <w:left w:w="110" w:type="dxa"/>
              <w:right w:w="110" w:type="dxa"/>
            </w:tcMar>
          </w:tcPr>
          <w:p>
            <w:r>
              <w:rPr>
                <w:rFonts w:ascii="Calibri" w:hAnsi="Calibri"/>
                <w:color w:val="0F172A"/>
                <w:sz w:val="17"/>
              </w:rPr>
              <w:t>concepts</w:t>
            </w:r>
          </w:p>
        </w:tc>
        <w:tc>
          <w:tcPr>
            <w:tcW w:type="dxa" w:w="3456"/>
            <w:shd w:fill="FFFFFF"/>
            <w:tcMar>
              <w:top w:w="80" w:type="dxa"/>
              <w:bottom w:w="80" w:type="dxa"/>
              <w:left w:w="110" w:type="dxa"/>
              <w:right w:w="110" w:type="dxa"/>
            </w:tcMar>
          </w:tcPr>
          <w:p>
            <w:r>
              <w:rPr>
                <w:rFonts w:ascii="Calibri" w:hAnsi="Calibri"/>
                <w:color w:val="0F172A"/>
                <w:sz w:val="17"/>
              </w:rPr>
              <w:t>concept_id (PK), name, description, category, order_index, icon</w:t>
            </w:r>
          </w:p>
        </w:tc>
        <w:tc>
          <w:tcPr>
            <w:tcW w:type="dxa" w:w="3744"/>
            <w:shd w:fill="FFFFFF"/>
            <w:tcMar>
              <w:top w:w="80" w:type="dxa"/>
              <w:bottom w:w="80" w:type="dxa"/>
              <w:left w:w="110" w:type="dxa"/>
              <w:right w:w="110" w:type="dxa"/>
            </w:tcMar>
          </w:tcPr>
          <w:p>
            <w:r>
              <w:rPr>
                <w:rFonts w:ascii="Calibri" w:hAnsi="Calibri"/>
                <w:color w:val="0F172A"/>
                <w:sz w:val="17"/>
              </w:rPr>
              <w:t>Defines the 10 canonical curriculum nodes (C1 to C10) with metadata and visual icons.</w:t>
            </w:r>
          </w:p>
        </w:tc>
      </w:tr>
      <w:tr>
        <w:tc>
          <w:tcPr>
            <w:tcW w:type="dxa" w:w="2592"/>
            <w:shd w:fill="F8FAFC"/>
            <w:tcMar>
              <w:top w:w="80" w:type="dxa"/>
              <w:bottom w:w="80" w:type="dxa"/>
              <w:left w:w="110" w:type="dxa"/>
              <w:right w:w="110" w:type="dxa"/>
            </w:tcMar>
          </w:tcPr>
          <w:p>
            <w:r>
              <w:rPr>
                <w:rFonts w:ascii="Calibri" w:hAnsi="Calibri"/>
                <w:color w:val="0F172A"/>
                <w:sz w:val="17"/>
              </w:rPr>
              <w:t>prerequisites</w:t>
            </w:r>
          </w:p>
        </w:tc>
        <w:tc>
          <w:tcPr>
            <w:tcW w:type="dxa" w:w="3456"/>
            <w:shd w:fill="F8FAFC"/>
            <w:tcMar>
              <w:top w:w="80" w:type="dxa"/>
              <w:bottom w:w="80" w:type="dxa"/>
              <w:left w:w="110" w:type="dxa"/>
              <w:right w:w="110" w:type="dxa"/>
            </w:tcMar>
          </w:tcPr>
          <w:p>
            <w:r>
              <w:rPr>
                <w:rFonts w:ascii="Calibri" w:hAnsi="Calibri"/>
                <w:color w:val="0F172A"/>
                <w:sz w:val="17"/>
              </w:rPr>
              <w:t>prerequisite_id, concept_id (Composite PK)</w:t>
            </w:r>
          </w:p>
        </w:tc>
        <w:tc>
          <w:tcPr>
            <w:tcW w:type="dxa" w:w="3744"/>
            <w:shd w:fill="F8FAFC"/>
            <w:tcMar>
              <w:top w:w="80" w:type="dxa"/>
              <w:bottom w:w="80" w:type="dxa"/>
              <w:left w:w="110" w:type="dxa"/>
              <w:right w:w="110" w:type="dxa"/>
            </w:tcMar>
          </w:tcPr>
          <w:p>
            <w:r>
              <w:rPr>
                <w:rFonts w:ascii="Calibri" w:hAnsi="Calibri"/>
                <w:color w:val="0F172A"/>
                <w:sz w:val="17"/>
              </w:rPr>
              <w:t>Stores the directed prerequisite graph edges connecting upstream and downstream concepts.</w:t>
            </w:r>
          </w:p>
        </w:tc>
      </w:tr>
      <w:tr>
        <w:tc>
          <w:tcPr>
            <w:tcW w:type="dxa" w:w="2592"/>
            <w:shd w:fill="FFFFFF"/>
            <w:tcMar>
              <w:top w:w="80" w:type="dxa"/>
              <w:bottom w:w="80" w:type="dxa"/>
              <w:left w:w="110" w:type="dxa"/>
              <w:right w:w="110" w:type="dxa"/>
            </w:tcMar>
          </w:tcPr>
          <w:p>
            <w:r>
              <w:rPr>
                <w:rFonts w:ascii="Calibri" w:hAnsi="Calibri"/>
                <w:color w:val="0F172A"/>
                <w:sz w:val="17"/>
              </w:rPr>
              <w:t>questions</w:t>
            </w:r>
          </w:p>
        </w:tc>
        <w:tc>
          <w:tcPr>
            <w:tcW w:type="dxa" w:w="3456"/>
            <w:shd w:fill="FFFFFF"/>
            <w:tcMar>
              <w:top w:w="80" w:type="dxa"/>
              <w:bottom w:w="80" w:type="dxa"/>
              <w:left w:w="110" w:type="dxa"/>
              <w:right w:w="110" w:type="dxa"/>
            </w:tcMar>
          </w:tcPr>
          <w:p>
            <w:r>
              <w:rPr>
                <w:rFonts w:ascii="Calibri" w:hAnsi="Calibri"/>
                <w:color w:val="0F172A"/>
                <w:sz w:val="17"/>
              </w:rPr>
              <w:t>question_id (PK), concept_id, type, difficulty, is_transfer, prompt, correct_answer, eval_expr, hints_json, explanation</w:t>
            </w:r>
          </w:p>
        </w:tc>
        <w:tc>
          <w:tcPr>
            <w:tcW w:type="dxa" w:w="3744"/>
            <w:shd w:fill="FFFFFF"/>
            <w:tcMar>
              <w:top w:w="80" w:type="dxa"/>
              <w:bottom w:w="80" w:type="dxa"/>
              <w:left w:w="110" w:type="dxa"/>
              <w:right w:w="110" w:type="dxa"/>
            </w:tcMar>
          </w:tcPr>
          <w:p>
            <w:r>
              <w:rPr>
                <w:rFonts w:ascii="Calibri" w:hAnsi="Calibri"/>
                <w:color w:val="0F172A"/>
                <w:sz w:val="17"/>
              </w:rPr>
              <w:t>Repository of 50 parameterized questions with difficulty ratings, hints, and transfer challenge flags.</w:t>
            </w:r>
          </w:p>
        </w:tc>
      </w:tr>
      <w:tr>
        <w:tc>
          <w:tcPr>
            <w:tcW w:type="dxa" w:w="2592"/>
            <w:shd w:fill="F8FAFC"/>
            <w:tcMar>
              <w:top w:w="80" w:type="dxa"/>
              <w:bottom w:w="80" w:type="dxa"/>
              <w:left w:w="110" w:type="dxa"/>
              <w:right w:w="110" w:type="dxa"/>
            </w:tcMar>
          </w:tcPr>
          <w:p>
            <w:r>
              <w:rPr>
                <w:rFonts w:ascii="Calibri" w:hAnsi="Calibri"/>
                <w:color w:val="0F172A"/>
                <w:sz w:val="17"/>
              </w:rPr>
              <w:t>student_mastery</w:t>
            </w:r>
          </w:p>
        </w:tc>
        <w:tc>
          <w:tcPr>
            <w:tcW w:type="dxa" w:w="3456"/>
            <w:shd w:fill="F8FAFC"/>
            <w:tcMar>
              <w:top w:w="80" w:type="dxa"/>
              <w:bottom w:w="80" w:type="dxa"/>
              <w:left w:w="110" w:type="dxa"/>
              <w:right w:w="110" w:type="dxa"/>
            </w:tcMar>
          </w:tcPr>
          <w:p>
            <w:r>
              <w:rPr>
                <w:rFonts w:ascii="Calibri" w:hAnsi="Calibri"/>
                <w:color w:val="0F172A"/>
                <w:sz w:val="17"/>
              </w:rPr>
              <w:t>student_id, concept_id (Composite PK), p, p_eff, stability_days, evidence_sum, transfer_passed, is_fragile, status, updated_at</w:t>
            </w:r>
          </w:p>
        </w:tc>
        <w:tc>
          <w:tcPr>
            <w:tcW w:type="dxa" w:w="3744"/>
            <w:shd w:fill="F8FAFC"/>
            <w:tcMar>
              <w:top w:w="80" w:type="dxa"/>
              <w:bottom w:w="80" w:type="dxa"/>
              <w:left w:w="110" w:type="dxa"/>
              <w:right w:w="110" w:type="dxa"/>
            </w:tcMar>
          </w:tcPr>
          <w:p>
            <w:r>
              <w:rPr>
                <w:rFonts w:ascii="Calibri" w:hAnsi="Calibri"/>
                <w:color w:val="0F172A"/>
                <w:sz w:val="17"/>
              </w:rPr>
              <w:t>Tracks per-student, per-concept psychometric state, effective mastery, stability, and fragile flags.</w:t>
            </w:r>
          </w:p>
        </w:tc>
      </w:tr>
      <w:tr>
        <w:tc>
          <w:tcPr>
            <w:tcW w:type="dxa" w:w="2592"/>
            <w:shd w:fill="FFFFFF"/>
            <w:tcMar>
              <w:top w:w="80" w:type="dxa"/>
              <w:bottom w:w="80" w:type="dxa"/>
              <w:left w:w="110" w:type="dxa"/>
              <w:right w:w="110" w:type="dxa"/>
            </w:tcMar>
          </w:tcPr>
          <w:p>
            <w:r>
              <w:rPr>
                <w:rFonts w:ascii="Calibri" w:hAnsi="Calibri"/>
                <w:color w:val="0F172A"/>
                <w:sz w:val="17"/>
              </w:rPr>
              <w:t>attempts</w:t>
            </w:r>
          </w:p>
        </w:tc>
        <w:tc>
          <w:tcPr>
            <w:tcW w:type="dxa" w:w="3456"/>
            <w:shd w:fill="FFFFFF"/>
            <w:tcMar>
              <w:top w:w="80" w:type="dxa"/>
              <w:bottom w:w="80" w:type="dxa"/>
              <w:left w:w="110" w:type="dxa"/>
              <w:right w:w="110" w:type="dxa"/>
            </w:tcMar>
          </w:tcPr>
          <w:p>
            <w:r>
              <w:rPr>
                <w:rFonts w:ascii="Calibri" w:hAnsi="Calibri"/>
                <w:color w:val="0F172A"/>
                <w:sz w:val="17"/>
              </w:rPr>
              <w:t>attempt_id (PK AUTO), student_id, concept_id, question_id, user_answer, is_correct, confidence, time_ms, hints_used, retry_gap_seconds, attempt_no, evidence_weight, timestamp</w:t>
            </w:r>
          </w:p>
        </w:tc>
        <w:tc>
          <w:tcPr>
            <w:tcW w:type="dxa" w:w="3744"/>
            <w:shd w:fill="FFFFFF"/>
            <w:tcMar>
              <w:top w:w="80" w:type="dxa"/>
              <w:bottom w:w="80" w:type="dxa"/>
              <w:left w:w="110" w:type="dxa"/>
              <w:right w:w="110" w:type="dxa"/>
            </w:tcMar>
          </w:tcPr>
          <w:p>
            <w:r>
              <w:rPr>
                <w:rFonts w:ascii="Calibri" w:hAnsi="Calibri"/>
                <w:color w:val="0F172A"/>
                <w:sz w:val="17"/>
              </w:rPr>
              <w:t>Complete telemetry audit log of every student interaction attempt.</w:t>
            </w:r>
          </w:p>
        </w:tc>
      </w:tr>
      <w:tr>
        <w:tc>
          <w:tcPr>
            <w:tcW w:type="dxa" w:w="2592"/>
            <w:shd w:fill="F8FAFC"/>
            <w:tcMar>
              <w:top w:w="80" w:type="dxa"/>
              <w:bottom w:w="80" w:type="dxa"/>
              <w:left w:w="110" w:type="dxa"/>
              <w:right w:w="110" w:type="dxa"/>
            </w:tcMar>
          </w:tcPr>
          <w:p>
            <w:r>
              <w:rPr>
                <w:rFonts w:ascii="Calibri" w:hAnsi="Calibri"/>
                <w:color w:val="0F172A"/>
                <w:sz w:val="17"/>
              </w:rPr>
              <w:t>teacher_overrides</w:t>
            </w:r>
          </w:p>
        </w:tc>
        <w:tc>
          <w:tcPr>
            <w:tcW w:type="dxa" w:w="3456"/>
            <w:shd w:fill="F8FAFC"/>
            <w:tcMar>
              <w:top w:w="80" w:type="dxa"/>
              <w:bottom w:w="80" w:type="dxa"/>
              <w:left w:w="110" w:type="dxa"/>
              <w:right w:w="110" w:type="dxa"/>
            </w:tcMar>
          </w:tcPr>
          <w:p>
            <w:r>
              <w:rPr>
                <w:rFonts w:ascii="Calibri" w:hAnsi="Calibri"/>
                <w:color w:val="0F172A"/>
                <w:sz w:val="17"/>
              </w:rPr>
              <w:t>override_id (PK AUTO), student_id, target_concept, action, reason, teacher_name, is_active, created_at</w:t>
            </w:r>
          </w:p>
        </w:tc>
        <w:tc>
          <w:tcPr>
            <w:tcW w:type="dxa" w:w="3744"/>
            <w:shd w:fill="F8FAFC"/>
            <w:tcMar>
              <w:top w:w="80" w:type="dxa"/>
              <w:bottom w:w="80" w:type="dxa"/>
              <w:left w:w="110" w:type="dxa"/>
              <w:right w:w="110" w:type="dxa"/>
            </w:tcMar>
          </w:tcPr>
          <w:p>
            <w:r>
              <w:rPr>
                <w:rFonts w:ascii="Calibri" w:hAnsi="Calibri"/>
                <w:color w:val="0F172A"/>
                <w:sz w:val="17"/>
              </w:rPr>
              <w:t>Stores persistent human-in-the-loop teacher interventions.</w:t>
            </w:r>
          </w:p>
        </w:tc>
      </w:tr>
      <w:tr>
        <w:tc>
          <w:tcPr>
            <w:tcW w:type="dxa" w:w="2592"/>
            <w:shd w:fill="FFFFFF"/>
            <w:tcMar>
              <w:top w:w="80" w:type="dxa"/>
              <w:bottom w:w="80" w:type="dxa"/>
              <w:left w:w="110" w:type="dxa"/>
              <w:right w:w="110" w:type="dxa"/>
            </w:tcMar>
          </w:tcPr>
          <w:p>
            <w:r>
              <w:rPr>
                <w:rFonts w:ascii="Calibri" w:hAnsi="Calibri"/>
                <w:color w:val="0F172A"/>
                <w:sz w:val="17"/>
              </w:rPr>
              <w:t>audit_log</w:t>
            </w:r>
          </w:p>
        </w:tc>
        <w:tc>
          <w:tcPr>
            <w:tcW w:type="dxa" w:w="3456"/>
            <w:shd w:fill="FFFFFF"/>
            <w:tcMar>
              <w:top w:w="80" w:type="dxa"/>
              <w:bottom w:w="80" w:type="dxa"/>
              <w:left w:w="110" w:type="dxa"/>
              <w:right w:w="110" w:type="dxa"/>
            </w:tcMar>
          </w:tcPr>
          <w:p>
            <w:r>
              <w:rPr>
                <w:rFonts w:ascii="Calibri" w:hAnsi="Calibri"/>
                <w:color w:val="0F172A"/>
                <w:sz w:val="17"/>
              </w:rPr>
              <w:t>log_id (PK AUTO), timestamp, student_id, action, target_concept, reason, config_version, inputs_json</w:t>
            </w:r>
          </w:p>
        </w:tc>
        <w:tc>
          <w:tcPr>
            <w:tcW w:type="dxa" w:w="3744"/>
            <w:shd w:fill="FFFFFF"/>
            <w:tcMar>
              <w:top w:w="80" w:type="dxa"/>
              <w:bottom w:w="80" w:type="dxa"/>
              <w:left w:w="110" w:type="dxa"/>
              <w:right w:w="110" w:type="dxa"/>
            </w:tcMar>
          </w:tcPr>
          <w:p>
            <w:r>
              <w:rPr>
                <w:rFonts w:ascii="Calibri" w:hAnsi="Calibri"/>
                <w:color w:val="0F172A"/>
                <w:sz w:val="17"/>
              </w:rPr>
              <w:t>Immutable audit trail of every automated engine decision and Test 8 snapshot.</w:t>
            </w:r>
          </w:p>
        </w:tc>
      </w:tr>
      <w:tr>
        <w:tc>
          <w:tcPr>
            <w:tcW w:type="dxa" w:w="2592"/>
            <w:shd w:fill="F8FAFC"/>
            <w:tcMar>
              <w:top w:w="80" w:type="dxa"/>
              <w:bottom w:w="80" w:type="dxa"/>
              <w:left w:w="110" w:type="dxa"/>
              <w:right w:w="110" w:type="dxa"/>
            </w:tcMar>
          </w:tcPr>
          <w:p>
            <w:r>
              <w:rPr>
                <w:rFonts w:ascii="Calibri" w:hAnsi="Calibri"/>
                <w:color w:val="0F172A"/>
                <w:sz w:val="17"/>
              </w:rPr>
              <w:t>student_agency_requests</w:t>
            </w:r>
          </w:p>
        </w:tc>
        <w:tc>
          <w:tcPr>
            <w:tcW w:type="dxa" w:w="3456"/>
            <w:shd w:fill="F8FAFC"/>
            <w:tcMar>
              <w:top w:w="80" w:type="dxa"/>
              <w:bottom w:w="80" w:type="dxa"/>
              <w:left w:w="110" w:type="dxa"/>
              <w:right w:w="110" w:type="dxa"/>
            </w:tcMar>
          </w:tcPr>
          <w:p>
            <w:r>
              <w:rPr>
                <w:rFonts w:ascii="Calibri" w:hAnsi="Calibri"/>
                <w:color w:val="0F172A"/>
                <w:sz w:val="17"/>
              </w:rPr>
              <w:t>request_id (PK AUTO), student_id, requested_action, requested_concept_id, reason, timestamp, status</w:t>
            </w:r>
          </w:p>
        </w:tc>
        <w:tc>
          <w:tcPr>
            <w:tcW w:type="dxa" w:w="3744"/>
            <w:shd w:fill="F8FAFC"/>
            <w:tcMar>
              <w:top w:w="80" w:type="dxa"/>
              <w:bottom w:w="80" w:type="dxa"/>
              <w:left w:w="110" w:type="dxa"/>
              <w:right w:w="110" w:type="dxa"/>
            </w:tcMar>
          </w:tcPr>
          <w:p>
            <w:r>
              <w:rPr>
                <w:rFonts w:ascii="Calibri" w:hAnsi="Calibri"/>
                <w:color w:val="0F172A"/>
                <w:sz w:val="17"/>
              </w:rPr>
              <w:t>Logs student-initiated alternative learning path requests.</w:t>
            </w:r>
          </w:p>
        </w:tc>
      </w:tr>
    </w:tbl>
    <w:p>
      <w:pPr>
        <w:spacing w:after="120"/>
      </w:pPr>
    </w:p>
    <w:p>
      <w:pPr>
        <w:pStyle w:val="Heading1"/>
      </w:pPr>
      <w:r>
        <w:t>5. FastAPI REST Microservice Layer</w:t>
      </w:r>
    </w:p>
    <w:p>
      <w:r>
        <w:rPr>
          <w:sz w:val="20"/>
        </w:rPr>
        <w:t>The platform exposes a production REST API built with FastAPI and Uvicorn running on Port 8000, with auto-generated OpenAPI Swagger docs at /docs.</w:t>
      </w:r>
    </w:p>
    <w:tbl>
      <w:tblPr>
        <w:tblW w:type="auto" w:w="0"/>
        <w:jc w:val="center"/>
        <w:tblLook w:firstColumn="1" w:firstRow="1" w:lastColumn="0" w:lastRow="0" w:noHBand="0" w:noVBand="1" w:val="04A0"/>
      </w:tblPr>
      <w:tblGrid>
        <w:gridCol w:w="2484"/>
        <w:gridCol w:w="2484"/>
        <w:gridCol w:w="2484"/>
        <w:gridCol w:w="2484"/>
      </w:tblGrid>
      <w:tr>
        <w:tc>
          <w:tcPr>
            <w:tcW w:type="dxa" w:w="1152"/>
            <w:shd w:fill="0F172A"/>
            <w:tcMar>
              <w:top w:w="100" w:type="dxa"/>
              <w:bottom w:w="100" w:type="dxa"/>
              <w:left w:w="110" w:type="dxa"/>
              <w:right w:w="110" w:type="dxa"/>
            </w:tcMar>
          </w:tcPr>
          <w:p>
            <w:r>
              <w:rPr>
                <w:rFonts w:ascii="Calibri" w:hAnsi="Calibri"/>
                <w:b/>
                <w:color w:val="FFFFFF"/>
                <w:sz w:val="18"/>
              </w:rPr>
              <w:t>Method</w:t>
            </w:r>
          </w:p>
        </w:tc>
        <w:tc>
          <w:tcPr>
            <w:tcW w:type="dxa" w:w="2880"/>
            <w:shd w:fill="0F172A"/>
            <w:tcMar>
              <w:top w:w="100" w:type="dxa"/>
              <w:bottom w:w="100" w:type="dxa"/>
              <w:left w:w="110" w:type="dxa"/>
              <w:right w:w="110" w:type="dxa"/>
            </w:tcMar>
          </w:tcPr>
          <w:p>
            <w:r>
              <w:rPr>
                <w:rFonts w:ascii="Calibri" w:hAnsi="Calibri"/>
                <w:b/>
                <w:color w:val="FFFFFF"/>
                <w:sz w:val="18"/>
              </w:rPr>
              <w:t>Endpoint Route</w:t>
            </w:r>
          </w:p>
        </w:tc>
        <w:tc>
          <w:tcPr>
            <w:tcW w:type="dxa" w:w="2592"/>
            <w:shd w:fill="0F172A"/>
            <w:tcMar>
              <w:top w:w="100" w:type="dxa"/>
              <w:bottom w:w="100" w:type="dxa"/>
              <w:left w:w="110" w:type="dxa"/>
              <w:right w:w="110" w:type="dxa"/>
            </w:tcMar>
          </w:tcPr>
          <w:p>
            <w:r>
              <w:rPr>
                <w:rFonts w:ascii="Calibri" w:hAnsi="Calibri"/>
                <w:b/>
                <w:color w:val="FFFFFF"/>
                <w:sz w:val="18"/>
              </w:rPr>
              <w:t>Payload / Parameters</w:t>
            </w:r>
          </w:p>
        </w:tc>
        <w:tc>
          <w:tcPr>
            <w:tcW w:type="dxa" w:w="3168"/>
            <w:shd w:fill="0F172A"/>
            <w:tcMar>
              <w:top w:w="100" w:type="dxa"/>
              <w:bottom w:w="100" w:type="dxa"/>
              <w:left w:w="110" w:type="dxa"/>
              <w:right w:w="110" w:type="dxa"/>
            </w:tcMar>
          </w:tcPr>
          <w:p>
            <w:r>
              <w:rPr>
                <w:rFonts w:ascii="Calibri" w:hAnsi="Calibri"/>
                <w:b/>
                <w:color w:val="FFFFFF"/>
                <w:sz w:val="18"/>
              </w:rPr>
              <w:t>Description &amp; Response</w:t>
            </w:r>
          </w:p>
        </w:tc>
      </w:tr>
      <w:tr>
        <w:tc>
          <w:tcPr>
            <w:tcW w:type="dxa" w:w="1152"/>
            <w:shd w:fill="F8FAFC"/>
            <w:tcMar>
              <w:top w:w="80" w:type="dxa"/>
              <w:bottom w:w="80" w:type="dxa"/>
              <w:left w:w="110" w:type="dxa"/>
              <w:right w:w="110" w:type="dxa"/>
            </w:tcMar>
          </w:tcPr>
          <w:p>
            <w:r>
              <w:rPr>
                <w:rFonts w:ascii="Calibri" w:hAnsi="Calibri"/>
                <w:color w:val="0F172A"/>
                <w:sz w:val="17"/>
              </w:rPr>
              <w:t>POST</w:t>
            </w:r>
          </w:p>
        </w:tc>
        <w:tc>
          <w:tcPr>
            <w:tcW w:type="dxa" w:w="2880"/>
            <w:shd w:fill="F8FAFC"/>
            <w:tcMar>
              <w:top w:w="80" w:type="dxa"/>
              <w:bottom w:w="80" w:type="dxa"/>
              <w:left w:w="110" w:type="dxa"/>
              <w:right w:w="110" w:type="dxa"/>
            </w:tcMar>
          </w:tcPr>
          <w:p>
            <w:r>
              <w:rPr>
                <w:rFonts w:ascii="Calibri" w:hAnsi="Calibri"/>
                <w:color w:val="0F172A"/>
                <w:sz w:val="17"/>
              </w:rPr>
              <w:t>/api/attempt</w:t>
            </w:r>
          </w:p>
        </w:tc>
        <w:tc>
          <w:tcPr>
            <w:tcW w:type="dxa" w:w="2592"/>
            <w:shd w:fill="F8FAFC"/>
            <w:tcMar>
              <w:top w:w="80" w:type="dxa"/>
              <w:bottom w:w="80" w:type="dxa"/>
              <w:left w:w="110" w:type="dxa"/>
              <w:right w:w="110" w:type="dxa"/>
            </w:tcMar>
          </w:tcPr>
          <w:p>
            <w:r>
              <w:rPr>
                <w:rFonts w:ascii="Calibri" w:hAnsi="Calibri"/>
                <w:color w:val="0F172A"/>
                <w:sz w:val="17"/>
              </w:rPr>
              <w:t>AttemptRequest (JSON: student_id, concept_id, is_correct, time_ms, hints, confidence)</w:t>
            </w:r>
          </w:p>
        </w:tc>
        <w:tc>
          <w:tcPr>
            <w:tcW w:type="dxa" w:w="3168"/>
            <w:shd w:fill="F8FAFC"/>
            <w:tcMar>
              <w:top w:w="80" w:type="dxa"/>
              <w:bottom w:w="80" w:type="dxa"/>
              <w:left w:w="110" w:type="dxa"/>
              <w:right w:w="110" w:type="dxa"/>
            </w:tcMar>
          </w:tcPr>
          <w:p>
            <w:r>
              <w:rPr>
                <w:rFonts w:ascii="Calibri" w:hAnsi="Calibri"/>
                <w:color w:val="0F172A"/>
                <w:sz w:val="17"/>
              </w:rPr>
              <w:t>Ingests student attempt, computes evidence weight w, updates BKT posterior, and returns new p.</w:t>
            </w:r>
          </w:p>
        </w:tc>
      </w:tr>
      <w:tr>
        <w:tc>
          <w:tcPr>
            <w:tcW w:type="dxa" w:w="1152"/>
            <w:shd w:fill="FFFFFF"/>
            <w:tcMar>
              <w:top w:w="80" w:type="dxa"/>
              <w:bottom w:w="80" w:type="dxa"/>
              <w:left w:w="110" w:type="dxa"/>
              <w:right w:w="110" w:type="dxa"/>
            </w:tcMar>
          </w:tcPr>
          <w:p>
            <w:r>
              <w:rPr>
                <w:rFonts w:ascii="Calibri" w:hAnsi="Calibri"/>
                <w:color w:val="0F172A"/>
                <w:sz w:val="17"/>
              </w:rPr>
              <w:t>GET</w:t>
            </w:r>
          </w:p>
        </w:tc>
        <w:tc>
          <w:tcPr>
            <w:tcW w:type="dxa" w:w="2880"/>
            <w:shd w:fill="FFFFFF"/>
            <w:tcMar>
              <w:top w:w="80" w:type="dxa"/>
              <w:bottom w:w="80" w:type="dxa"/>
              <w:left w:w="110" w:type="dxa"/>
              <w:right w:w="110" w:type="dxa"/>
            </w:tcMar>
          </w:tcPr>
          <w:p>
            <w:r>
              <w:rPr>
                <w:rFonts w:ascii="Calibri" w:hAnsi="Calibri"/>
                <w:color w:val="0F172A"/>
                <w:sz w:val="17"/>
              </w:rPr>
              <w:t>/api/next-action/{id}</w:t>
            </w:r>
          </w:p>
        </w:tc>
        <w:tc>
          <w:tcPr>
            <w:tcW w:type="dxa" w:w="2592"/>
            <w:shd w:fill="FFFFFF"/>
            <w:tcMar>
              <w:top w:w="80" w:type="dxa"/>
              <w:bottom w:w="80" w:type="dxa"/>
              <w:left w:w="110" w:type="dxa"/>
              <w:right w:w="110" w:type="dxa"/>
            </w:tcMar>
          </w:tcPr>
          <w:p>
            <w:r>
              <w:rPr>
                <w:rFonts w:ascii="Calibri" w:hAnsi="Calibri"/>
                <w:color w:val="0F172A"/>
                <w:sz w:val="17"/>
              </w:rPr>
              <w:t>Path: student_id (str)</w:t>
            </w:r>
          </w:p>
        </w:tc>
        <w:tc>
          <w:tcPr>
            <w:tcW w:type="dxa" w:w="3168"/>
            <w:shd w:fill="FFFFFF"/>
            <w:tcMar>
              <w:top w:w="80" w:type="dxa"/>
              <w:bottom w:w="80" w:type="dxa"/>
              <w:left w:w="110" w:type="dxa"/>
              <w:right w:w="110" w:type="dxa"/>
            </w:tcMar>
          </w:tcPr>
          <w:p>
            <w:r>
              <w:rPr>
                <w:rFonts w:ascii="Calibri" w:hAnsi="Calibri"/>
                <w:color w:val="0F172A"/>
                <w:sz w:val="17"/>
              </w:rPr>
              <w:t>Evaluates 6-rule hierarchy against SQLite state and returns target_concept, action, rule, and pedagogical reason.</w:t>
            </w:r>
          </w:p>
        </w:tc>
      </w:tr>
      <w:tr>
        <w:tc>
          <w:tcPr>
            <w:tcW w:type="dxa" w:w="1152"/>
            <w:shd w:fill="F8FAFC"/>
            <w:tcMar>
              <w:top w:w="80" w:type="dxa"/>
              <w:bottom w:w="80" w:type="dxa"/>
              <w:left w:w="110" w:type="dxa"/>
              <w:right w:w="110" w:type="dxa"/>
            </w:tcMar>
          </w:tcPr>
          <w:p>
            <w:r>
              <w:rPr>
                <w:rFonts w:ascii="Calibri" w:hAnsi="Calibri"/>
                <w:color w:val="0F172A"/>
                <w:sz w:val="17"/>
              </w:rPr>
              <w:t>GET</w:t>
            </w:r>
          </w:p>
        </w:tc>
        <w:tc>
          <w:tcPr>
            <w:tcW w:type="dxa" w:w="2880"/>
            <w:shd w:fill="F8FAFC"/>
            <w:tcMar>
              <w:top w:w="80" w:type="dxa"/>
              <w:bottom w:w="80" w:type="dxa"/>
              <w:left w:w="110" w:type="dxa"/>
              <w:right w:w="110" w:type="dxa"/>
            </w:tcMar>
          </w:tcPr>
          <w:p>
            <w:r>
              <w:rPr>
                <w:rFonts w:ascii="Calibri" w:hAnsi="Calibri"/>
                <w:color w:val="0F172A"/>
                <w:sz w:val="17"/>
              </w:rPr>
              <w:t>/api/student/{id}/mastery</w:t>
            </w:r>
          </w:p>
        </w:tc>
        <w:tc>
          <w:tcPr>
            <w:tcW w:type="dxa" w:w="2592"/>
            <w:shd w:fill="F8FAFC"/>
            <w:tcMar>
              <w:top w:w="80" w:type="dxa"/>
              <w:bottom w:w="80" w:type="dxa"/>
              <w:left w:w="110" w:type="dxa"/>
              <w:right w:w="110" w:type="dxa"/>
            </w:tcMar>
          </w:tcPr>
          <w:p>
            <w:r>
              <w:rPr>
                <w:rFonts w:ascii="Calibri" w:hAnsi="Calibri"/>
                <w:color w:val="0F172A"/>
                <w:sz w:val="17"/>
              </w:rPr>
              <w:t>Path: student_id (str)</w:t>
            </w:r>
          </w:p>
        </w:tc>
        <w:tc>
          <w:tcPr>
            <w:tcW w:type="dxa" w:w="3168"/>
            <w:shd w:fill="F8FAFC"/>
            <w:tcMar>
              <w:top w:w="80" w:type="dxa"/>
              <w:bottom w:w="80" w:type="dxa"/>
              <w:left w:w="110" w:type="dxa"/>
              <w:right w:w="110" w:type="dxa"/>
            </w:tcMar>
          </w:tcPr>
          <w:p>
            <w:r>
              <w:rPr>
                <w:rFonts w:ascii="Calibri" w:hAnsi="Calibri"/>
                <w:color w:val="0F172A"/>
                <w:sz w:val="17"/>
              </w:rPr>
              <w:t>Retrieves complete 10-concept mastery dictionary (p, p_eff, status, stability) for frontend rendering.</w:t>
            </w:r>
          </w:p>
        </w:tc>
      </w:tr>
      <w:tr>
        <w:tc>
          <w:tcPr>
            <w:tcW w:type="dxa" w:w="1152"/>
            <w:shd w:fill="FFFFFF"/>
            <w:tcMar>
              <w:top w:w="80" w:type="dxa"/>
              <w:bottom w:w="80" w:type="dxa"/>
              <w:left w:w="110" w:type="dxa"/>
              <w:right w:w="110" w:type="dxa"/>
            </w:tcMar>
          </w:tcPr>
          <w:p>
            <w:r>
              <w:rPr>
                <w:rFonts w:ascii="Calibri" w:hAnsi="Calibri"/>
                <w:color w:val="0F172A"/>
                <w:sz w:val="17"/>
              </w:rPr>
              <w:t>GET</w:t>
            </w:r>
          </w:p>
        </w:tc>
        <w:tc>
          <w:tcPr>
            <w:tcW w:type="dxa" w:w="2880"/>
            <w:shd w:fill="FFFFFF"/>
            <w:tcMar>
              <w:top w:w="80" w:type="dxa"/>
              <w:bottom w:w="80" w:type="dxa"/>
              <w:left w:w="110" w:type="dxa"/>
              <w:right w:w="110" w:type="dxa"/>
            </w:tcMar>
          </w:tcPr>
          <w:p>
            <w:r>
              <w:rPr>
                <w:rFonts w:ascii="Calibri" w:hAnsi="Calibri"/>
                <w:color w:val="0F172A"/>
                <w:sz w:val="17"/>
              </w:rPr>
              <w:t>/api/state/{id}</w:t>
            </w:r>
          </w:p>
        </w:tc>
        <w:tc>
          <w:tcPr>
            <w:tcW w:type="dxa" w:w="2592"/>
            <w:shd w:fill="FFFFFF"/>
            <w:tcMar>
              <w:top w:w="80" w:type="dxa"/>
              <w:bottom w:w="80" w:type="dxa"/>
              <w:left w:w="110" w:type="dxa"/>
              <w:right w:w="110" w:type="dxa"/>
            </w:tcMar>
          </w:tcPr>
          <w:p>
            <w:r>
              <w:rPr>
                <w:rFonts w:ascii="Calibri" w:hAnsi="Calibri"/>
                <w:color w:val="0F172A"/>
                <w:sz w:val="17"/>
              </w:rPr>
              <w:t>Path: student_id (str)</w:t>
            </w:r>
          </w:p>
        </w:tc>
        <w:tc>
          <w:tcPr>
            <w:tcW w:type="dxa" w:w="3168"/>
            <w:shd w:fill="FFFFFF"/>
            <w:tcMar>
              <w:top w:w="80" w:type="dxa"/>
              <w:bottom w:w="80" w:type="dxa"/>
              <w:left w:w="110" w:type="dxa"/>
              <w:right w:w="110" w:type="dxa"/>
            </w:tcMar>
          </w:tcPr>
          <w:p>
            <w:r>
              <w:rPr>
                <w:rFonts w:ascii="Calibri" w:hAnsi="Calibri"/>
                <w:color w:val="0F172A"/>
                <w:sz w:val="17"/>
              </w:rPr>
              <w:t>Retrieves full cognitive vector, virtual clock, and concept records.</w:t>
            </w:r>
          </w:p>
        </w:tc>
      </w:tr>
      <w:tr>
        <w:tc>
          <w:tcPr>
            <w:tcW w:type="dxa" w:w="1152"/>
            <w:shd w:fill="F8FAFC"/>
            <w:tcMar>
              <w:top w:w="80" w:type="dxa"/>
              <w:bottom w:w="80" w:type="dxa"/>
              <w:left w:w="110" w:type="dxa"/>
              <w:right w:w="110" w:type="dxa"/>
            </w:tcMar>
          </w:tcPr>
          <w:p>
            <w:r>
              <w:rPr>
                <w:rFonts w:ascii="Calibri" w:hAnsi="Calibri"/>
                <w:color w:val="0F172A"/>
                <w:sz w:val="17"/>
              </w:rPr>
              <w:t>POST</w:t>
            </w:r>
          </w:p>
        </w:tc>
        <w:tc>
          <w:tcPr>
            <w:tcW w:type="dxa" w:w="2880"/>
            <w:shd w:fill="F8FAFC"/>
            <w:tcMar>
              <w:top w:w="80" w:type="dxa"/>
              <w:bottom w:w="80" w:type="dxa"/>
              <w:left w:w="110" w:type="dxa"/>
              <w:right w:w="110" w:type="dxa"/>
            </w:tcMar>
          </w:tcPr>
          <w:p>
            <w:r>
              <w:rPr>
                <w:rFonts w:ascii="Calibri" w:hAnsi="Calibri"/>
                <w:color w:val="0F172A"/>
                <w:sz w:val="17"/>
              </w:rPr>
              <w:t>/api/teacher/override</w:t>
            </w:r>
          </w:p>
        </w:tc>
        <w:tc>
          <w:tcPr>
            <w:tcW w:type="dxa" w:w="2592"/>
            <w:shd w:fill="F8FAFC"/>
            <w:tcMar>
              <w:top w:w="80" w:type="dxa"/>
              <w:bottom w:w="80" w:type="dxa"/>
              <w:left w:w="110" w:type="dxa"/>
              <w:right w:w="110" w:type="dxa"/>
            </w:tcMar>
          </w:tcPr>
          <w:p>
            <w:r>
              <w:rPr>
                <w:rFonts w:ascii="Calibri" w:hAnsi="Calibri"/>
                <w:color w:val="0F172A"/>
                <w:sz w:val="17"/>
              </w:rPr>
              <w:t>OverrideRequest (JSON: student_id, override_concept, override_action, teacher_name, reason)</w:t>
            </w:r>
          </w:p>
        </w:tc>
        <w:tc>
          <w:tcPr>
            <w:tcW w:type="dxa" w:w="3168"/>
            <w:shd w:fill="F8FAFC"/>
            <w:tcMar>
              <w:top w:w="80" w:type="dxa"/>
              <w:bottom w:w="80" w:type="dxa"/>
              <w:left w:w="110" w:type="dxa"/>
              <w:right w:w="110" w:type="dxa"/>
            </w:tcMar>
          </w:tcPr>
          <w:p>
            <w:r>
              <w:rPr>
                <w:rFonts w:ascii="Calibri" w:hAnsi="Calibri"/>
                <w:color w:val="0F172A"/>
                <w:sz w:val="17"/>
              </w:rPr>
              <w:t>Applies persistent teacher override and records immutable SQLite entry.</w:t>
            </w:r>
          </w:p>
        </w:tc>
      </w:tr>
      <w:tr>
        <w:tc>
          <w:tcPr>
            <w:tcW w:type="dxa" w:w="1152"/>
            <w:shd w:fill="FFFFFF"/>
            <w:tcMar>
              <w:top w:w="80" w:type="dxa"/>
              <w:bottom w:w="80" w:type="dxa"/>
              <w:left w:w="110" w:type="dxa"/>
              <w:right w:w="110" w:type="dxa"/>
            </w:tcMar>
          </w:tcPr>
          <w:p>
            <w:r>
              <w:rPr>
                <w:rFonts w:ascii="Calibri" w:hAnsi="Calibri"/>
                <w:color w:val="0F172A"/>
                <w:sz w:val="17"/>
              </w:rPr>
              <w:t>POST</w:t>
            </w:r>
          </w:p>
        </w:tc>
        <w:tc>
          <w:tcPr>
            <w:tcW w:type="dxa" w:w="2880"/>
            <w:shd w:fill="FFFFFF"/>
            <w:tcMar>
              <w:top w:w="80" w:type="dxa"/>
              <w:bottom w:w="80" w:type="dxa"/>
              <w:left w:w="110" w:type="dxa"/>
              <w:right w:w="110" w:type="dxa"/>
            </w:tcMar>
          </w:tcPr>
          <w:p>
            <w:r>
              <w:rPr>
                <w:rFonts w:ascii="Calibri" w:hAnsi="Calibri"/>
                <w:color w:val="0F172A"/>
                <w:sz w:val="17"/>
              </w:rPr>
              <w:t>/api/time-travel</w:t>
            </w:r>
          </w:p>
        </w:tc>
        <w:tc>
          <w:tcPr>
            <w:tcW w:type="dxa" w:w="2592"/>
            <w:shd w:fill="FFFFFF"/>
            <w:tcMar>
              <w:top w:w="80" w:type="dxa"/>
              <w:bottom w:w="80" w:type="dxa"/>
              <w:left w:w="110" w:type="dxa"/>
              <w:right w:w="110" w:type="dxa"/>
            </w:tcMar>
          </w:tcPr>
          <w:p>
            <w:r>
              <w:rPr>
                <w:rFonts w:ascii="Calibri" w:hAnsi="Calibri"/>
                <w:color w:val="0F172A"/>
                <w:sz w:val="17"/>
              </w:rPr>
              <w:t>AdvanceTimeRequest (JSON: student_id, days)</w:t>
            </w:r>
          </w:p>
        </w:tc>
        <w:tc>
          <w:tcPr>
            <w:tcW w:type="dxa" w:w="3168"/>
            <w:shd w:fill="FFFFFF"/>
            <w:tcMar>
              <w:top w:w="80" w:type="dxa"/>
              <w:bottom w:w="80" w:type="dxa"/>
              <w:left w:w="110" w:type="dxa"/>
              <w:right w:w="110" w:type="dxa"/>
            </w:tcMar>
          </w:tcPr>
          <w:p>
            <w:r>
              <w:rPr>
                <w:rFonts w:ascii="Calibri" w:hAnsi="Calibri"/>
                <w:color w:val="0F172A"/>
                <w:sz w:val="17"/>
              </w:rPr>
              <w:t>Advances student virtual clock and returns decayed Ebbinghaus retention values.</w:t>
            </w:r>
          </w:p>
        </w:tc>
      </w:tr>
      <w:tr>
        <w:tc>
          <w:tcPr>
            <w:tcW w:type="dxa" w:w="1152"/>
            <w:shd w:fill="F8FAFC"/>
            <w:tcMar>
              <w:top w:w="80" w:type="dxa"/>
              <w:bottom w:w="80" w:type="dxa"/>
              <w:left w:w="110" w:type="dxa"/>
              <w:right w:w="110" w:type="dxa"/>
            </w:tcMar>
          </w:tcPr>
          <w:p>
            <w:r>
              <w:rPr>
                <w:rFonts w:ascii="Calibri" w:hAnsi="Calibri"/>
                <w:color w:val="0F172A"/>
                <w:sz w:val="17"/>
              </w:rPr>
              <w:t>GET</w:t>
            </w:r>
          </w:p>
        </w:tc>
        <w:tc>
          <w:tcPr>
            <w:tcW w:type="dxa" w:w="2880"/>
            <w:shd w:fill="F8FAFC"/>
            <w:tcMar>
              <w:top w:w="80" w:type="dxa"/>
              <w:bottom w:w="80" w:type="dxa"/>
              <w:left w:w="110" w:type="dxa"/>
              <w:right w:w="110" w:type="dxa"/>
            </w:tcMar>
          </w:tcPr>
          <w:p>
            <w:r>
              <w:rPr>
                <w:rFonts w:ascii="Calibri" w:hAnsi="Calibri"/>
                <w:color w:val="0F172A"/>
                <w:sz w:val="17"/>
              </w:rPr>
              <w:t>/api/teacher/heatmap</w:t>
            </w:r>
          </w:p>
        </w:tc>
        <w:tc>
          <w:tcPr>
            <w:tcW w:type="dxa" w:w="2592"/>
            <w:shd w:fill="F8FAFC"/>
            <w:tcMar>
              <w:top w:w="80" w:type="dxa"/>
              <w:bottom w:w="80" w:type="dxa"/>
              <w:left w:w="110" w:type="dxa"/>
              <w:right w:w="110" w:type="dxa"/>
            </w:tcMar>
          </w:tcPr>
          <w:p>
            <w:r>
              <w:rPr>
                <w:rFonts w:ascii="Calibri" w:hAnsi="Calibri"/>
                <w:color w:val="0F172A"/>
                <w:sz w:val="17"/>
              </w:rPr>
              <w:t>Query: student_ids (List[str])</w:t>
            </w:r>
          </w:p>
        </w:tc>
        <w:tc>
          <w:tcPr>
            <w:tcW w:type="dxa" w:w="3168"/>
            <w:shd w:fill="F8FAFC"/>
            <w:tcMar>
              <w:top w:w="80" w:type="dxa"/>
              <w:bottom w:w="80" w:type="dxa"/>
              <w:left w:w="110" w:type="dxa"/>
              <w:right w:w="110" w:type="dxa"/>
            </w:tcMar>
          </w:tcPr>
          <w:p>
            <w:r>
              <w:rPr>
                <w:rFonts w:ascii="Calibri" w:hAnsi="Calibri"/>
                <w:color w:val="0F172A"/>
                <w:sz w:val="17"/>
              </w:rPr>
              <w:t>Computes 2D cohort mastery heatmap matrix across all C1-C10 nodes.</w:t>
            </w:r>
          </w:p>
        </w:tc>
      </w:tr>
      <w:tr>
        <w:tc>
          <w:tcPr>
            <w:tcW w:type="dxa" w:w="1152"/>
            <w:shd w:fill="FFFFFF"/>
            <w:tcMar>
              <w:top w:w="80" w:type="dxa"/>
              <w:bottom w:w="80" w:type="dxa"/>
              <w:left w:w="110" w:type="dxa"/>
              <w:right w:w="110" w:type="dxa"/>
            </w:tcMar>
          </w:tcPr>
          <w:p>
            <w:r>
              <w:rPr>
                <w:rFonts w:ascii="Calibri" w:hAnsi="Calibri"/>
                <w:color w:val="0F172A"/>
                <w:sz w:val="17"/>
              </w:rPr>
              <w:t>GET</w:t>
            </w:r>
          </w:p>
        </w:tc>
        <w:tc>
          <w:tcPr>
            <w:tcW w:type="dxa" w:w="2880"/>
            <w:shd w:fill="FFFFFF"/>
            <w:tcMar>
              <w:top w:w="80" w:type="dxa"/>
              <w:bottom w:w="80" w:type="dxa"/>
              <w:left w:w="110" w:type="dxa"/>
              <w:right w:w="110" w:type="dxa"/>
            </w:tcMar>
          </w:tcPr>
          <w:p>
            <w:r>
              <w:rPr>
                <w:rFonts w:ascii="Calibri" w:hAnsi="Calibri"/>
                <w:color w:val="0F172A"/>
                <w:sz w:val="17"/>
              </w:rPr>
              <w:t>/api/teacher/stuck-learners</w:t>
            </w:r>
          </w:p>
        </w:tc>
        <w:tc>
          <w:tcPr>
            <w:tcW w:type="dxa" w:w="2592"/>
            <w:shd w:fill="FFFFFF"/>
            <w:tcMar>
              <w:top w:w="80" w:type="dxa"/>
              <w:bottom w:w="80" w:type="dxa"/>
              <w:left w:w="110" w:type="dxa"/>
              <w:right w:w="110" w:type="dxa"/>
            </w:tcMar>
          </w:tcPr>
          <w:p>
            <w:r>
              <w:rPr>
                <w:rFonts w:ascii="Calibri" w:hAnsi="Calibri"/>
                <w:color w:val="0F172A"/>
                <w:sz w:val="17"/>
              </w:rPr>
              <w:t>None</w:t>
            </w:r>
          </w:p>
        </w:tc>
        <w:tc>
          <w:tcPr>
            <w:tcW w:type="dxa" w:w="3168"/>
            <w:shd w:fill="FFFFFF"/>
            <w:tcMar>
              <w:top w:w="80" w:type="dxa"/>
              <w:bottom w:w="80" w:type="dxa"/>
              <w:left w:w="110" w:type="dxa"/>
              <w:right w:w="110" w:type="dxa"/>
            </w:tcMar>
          </w:tcPr>
          <w:p>
            <w:r>
              <w:rPr>
                <w:rFonts w:ascii="Calibri" w:hAnsi="Calibri"/>
                <w:color w:val="0F172A"/>
                <w:sz w:val="17"/>
              </w:rPr>
              <w:t>Returns list of learners flagged for intervention (Δp &lt; 0.05 across 3 cycles).</w:t>
            </w:r>
          </w:p>
        </w:tc>
      </w:tr>
      <w:tr>
        <w:tc>
          <w:tcPr>
            <w:tcW w:type="dxa" w:w="1152"/>
            <w:shd w:fill="F8FAFC"/>
            <w:tcMar>
              <w:top w:w="80" w:type="dxa"/>
              <w:bottom w:w="80" w:type="dxa"/>
              <w:left w:w="110" w:type="dxa"/>
              <w:right w:w="110" w:type="dxa"/>
            </w:tcMar>
          </w:tcPr>
          <w:p>
            <w:r>
              <w:rPr>
                <w:rFonts w:ascii="Calibri" w:hAnsi="Calibri"/>
                <w:color w:val="0F172A"/>
                <w:sz w:val="17"/>
              </w:rPr>
              <w:t>GET</w:t>
            </w:r>
          </w:p>
        </w:tc>
        <w:tc>
          <w:tcPr>
            <w:tcW w:type="dxa" w:w="2880"/>
            <w:shd w:fill="F8FAFC"/>
            <w:tcMar>
              <w:top w:w="80" w:type="dxa"/>
              <w:bottom w:w="80" w:type="dxa"/>
              <w:left w:w="110" w:type="dxa"/>
              <w:right w:w="110" w:type="dxa"/>
            </w:tcMar>
          </w:tcPr>
          <w:p>
            <w:r>
              <w:rPr>
                <w:rFonts w:ascii="Calibri" w:hAnsi="Calibri"/>
                <w:color w:val="0F172A"/>
                <w:sz w:val="17"/>
              </w:rPr>
              <w:t>/</w:t>
            </w:r>
          </w:p>
        </w:tc>
        <w:tc>
          <w:tcPr>
            <w:tcW w:type="dxa" w:w="2592"/>
            <w:shd w:fill="F8FAFC"/>
            <w:tcMar>
              <w:top w:w="80" w:type="dxa"/>
              <w:bottom w:w="80" w:type="dxa"/>
              <w:left w:w="110" w:type="dxa"/>
              <w:right w:w="110" w:type="dxa"/>
            </w:tcMar>
          </w:tcPr>
          <w:p>
            <w:r>
              <w:rPr>
                <w:rFonts w:ascii="Calibri" w:hAnsi="Calibri"/>
                <w:color w:val="0F172A"/>
                <w:sz w:val="17"/>
              </w:rPr>
              <w:t>None</w:t>
            </w:r>
          </w:p>
        </w:tc>
        <w:tc>
          <w:tcPr>
            <w:tcW w:type="dxa" w:w="3168"/>
            <w:shd w:fill="F8FAFC"/>
            <w:tcMar>
              <w:top w:w="80" w:type="dxa"/>
              <w:bottom w:w="80" w:type="dxa"/>
              <w:left w:w="110" w:type="dxa"/>
              <w:right w:w="110" w:type="dxa"/>
            </w:tcMar>
          </w:tcPr>
          <w:p>
            <w:r>
              <w:rPr>
                <w:rFonts w:ascii="Calibri" w:hAnsi="Calibri"/>
                <w:color w:val="0F172A"/>
                <w:sz w:val="17"/>
              </w:rPr>
              <w:t>Health check endpoint returning engine status, competition info, and psychometric invariants.</w:t>
            </w:r>
          </w:p>
        </w:tc>
      </w:tr>
    </w:tbl>
    <w:p>
      <w:r>
        <w:br w:type="page"/>
      </w:r>
    </w:p>
    <w:p>
      <w:pPr>
        <w:pStyle w:val="Heading1"/>
      </w:pPr>
      <w:r>
        <w:t>6. 360-Degree Jury Q&amp;A Defense Master Sheet</w:t>
      </w:r>
    </w:p>
    <w:p>
      <w:r>
        <w:rPr>
          <w:sz w:val="20"/>
        </w:rPr>
        <w:t>Be prepared to answer any technical or pedagogical question from the jury using these precise, authoritative responses:</w:t>
      </w:r>
    </w:p>
    <w:p>
      <w:pPr>
        <w:spacing w:before="100" w:after="20"/>
      </w:pPr>
      <w:r>
        <w:rPr>
          <w:rFonts w:ascii="Calibri" w:hAnsi="Calibri"/>
          <w:b/>
          <w:color w:val="B45309"/>
          <w:sz w:val="20"/>
        </w:rPr>
        <w:t>Q1: Why did you not use an LLM (like GPT-4) for the decision engine?</w:t>
      </w:r>
    </w:p>
    <w:p>
      <w:pPr>
        <w:spacing w:before="0" w:after="100"/>
      </w:pPr>
      <w:r>
        <w:rPr>
          <w:rFonts w:ascii="Calibri" w:hAnsi="Calibri"/>
          <w:color w:val="1E293B"/>
          <w:sz w:val="19"/>
        </w:rPr>
        <w:t>Answer: In high-stakes educational decision layers, LLMs suffer from non-deterministic variance, hallucinations, token latency (500-2000ms), and lack of mathematical explainability. MasteryFlow uses pure deterministic Python with Bayesian Knowledge Tracing and Directed Acyclic Graph invariants. It guarantees 0.00% variance (Test 8), executes in &lt;5ms, and provides 100% mathematically verifiable pedagogical decisions.</w:t>
      </w:r>
    </w:p>
    <w:p>
      <w:pPr>
        <w:spacing w:before="100" w:after="20"/>
      </w:pPr>
      <w:r>
        <w:rPr>
          <w:rFonts w:ascii="Calibri" w:hAnsi="Calibri"/>
          <w:b/>
          <w:color w:val="B45309"/>
          <w:sz w:val="20"/>
        </w:rPr>
        <w:t>Q2: How does your system detect and stop rapid guessing or brute-force trial-and-error?</w:t>
      </w:r>
    </w:p>
    <w:p>
      <w:pPr>
        <w:spacing w:before="0" w:after="100"/>
      </w:pPr>
      <w:r>
        <w:rPr>
          <w:rFonts w:ascii="Calibri" w:hAnsi="Calibri"/>
          <w:color w:val="1E293B"/>
          <w:sz w:val="19"/>
        </w:rPr>
        <w:t>Answer: Our Multi-Signal Evidence Model monitors response latency, hints used, and retry intervals. If a student answers in under 3.0 seconds, the anti-gaming guard flags the attempt as rapid guessing and clamps the evidence weight to w = 0.00. This neutralizes the attempt so the student gains zero mastery credit from guessing.</w:t>
      </w:r>
    </w:p>
    <w:p>
      <w:pPr>
        <w:spacing w:before="100" w:after="20"/>
      </w:pPr>
      <w:r>
        <w:rPr>
          <w:rFonts w:ascii="Calibri" w:hAnsi="Calibri"/>
          <w:b/>
          <w:color w:val="B45309"/>
          <w:sz w:val="20"/>
        </w:rPr>
        <w:t>Q3: What prevents a student from advancing to hard concepts by just answering easy questions?</w:t>
      </w:r>
    </w:p>
    <w:p>
      <w:pPr>
        <w:spacing w:before="0" w:after="100"/>
      </w:pPr>
      <w:r>
        <w:rPr>
          <w:rFonts w:ascii="Calibri" w:hAnsi="Calibri"/>
          <w:color w:val="1E293B"/>
          <w:sz w:val="19"/>
        </w:rPr>
        <w:t>Answer: The Transfer Verification Barrier (Rule 4). Even if a student gets 100% on introductory problems, their concept mastery remains capped as 'provisional'. A student cannot be marked as 'mastered' or advance to downstream frontier nodes until they pass a hard, multi-step transfer problem with high evidence weight (w &gt;= 0.5).</w:t>
      </w:r>
    </w:p>
    <w:p>
      <w:pPr>
        <w:spacing w:before="100" w:after="20"/>
      </w:pPr>
      <w:r>
        <w:rPr>
          <w:rFonts w:ascii="Calibri" w:hAnsi="Calibri"/>
          <w:b/>
          <w:color w:val="B45309"/>
          <w:sz w:val="20"/>
        </w:rPr>
        <w:t>Q4: How do you handle prerequisite gaps if an earlier concept was forgotten?</w:t>
      </w:r>
    </w:p>
    <w:p>
      <w:pPr>
        <w:spacing w:before="0" w:after="100"/>
      </w:pPr>
      <w:r>
        <w:rPr>
          <w:rFonts w:ascii="Calibri" w:hAnsi="Calibri"/>
          <w:color w:val="1E293B"/>
          <w:sz w:val="19"/>
        </w:rPr>
        <w:t>Answer: The Prerequisite Inconsistency Invariant (Rule 2). If a student is on C7 (Ratios) and upstream concept C2 (Equivalent Fractions) decays below 55%, the engine mathematically caps effective mastery on C7 (p_eff &lt;= 40%) and immediately routes the student to remediate C2 before unlocking further progress.</w:t>
      </w:r>
    </w:p>
    <w:p>
      <w:pPr>
        <w:spacing w:before="100" w:after="20"/>
      </w:pPr>
      <w:r>
        <w:rPr>
          <w:rFonts w:ascii="Calibri" w:hAnsi="Calibri"/>
          <w:b/>
          <w:color w:val="B45309"/>
          <w:sz w:val="20"/>
        </w:rPr>
        <w:t>Q5: How does your forgetting model work across summer vacations or long breaks?</w:t>
      </w:r>
    </w:p>
    <w:p>
      <w:pPr>
        <w:spacing w:before="0" w:after="100"/>
      </w:pPr>
      <w:r>
        <w:rPr>
          <w:rFonts w:ascii="Calibri" w:hAnsi="Calibri"/>
          <w:color w:val="1E293B"/>
          <w:sz w:val="19"/>
        </w:rPr>
        <w:t>Answer: We implement the Ebbinghaus Forgetting Curve: R(t) = P_floor + (P_base - P_floor) * exp(-t / S), where S is the concept memory stability in days. When a student returns after 21 days of inactivity, their retention decays. When it drops below 60%, Rule 3 triggers an automatic Spaced Retrieval Review on the faded node to restore retention, with stability growing upon successful recall.</w:t>
      </w:r>
    </w:p>
    <w:p>
      <w:pPr>
        <w:spacing w:before="100" w:after="20"/>
      </w:pPr>
      <w:r>
        <w:rPr>
          <w:rFonts w:ascii="Calibri" w:hAnsi="Calibri"/>
          <w:b/>
          <w:color w:val="B45309"/>
          <w:sz w:val="20"/>
        </w:rPr>
        <w:t>Q6: Can a teacher override the AI, and what happens to the historical data?</w:t>
      </w:r>
    </w:p>
    <w:p>
      <w:pPr>
        <w:spacing w:before="0" w:after="100"/>
      </w:pPr>
      <w:r>
        <w:rPr>
          <w:rFonts w:ascii="Calibri" w:hAnsi="Calibri"/>
          <w:color w:val="1E293B"/>
          <w:sz w:val="19"/>
        </w:rPr>
        <w:t>Answer: Yes. The Teacher Command Center provides a 1-Click Human Override Console. When an instructor redirects a student, the override takes immediate Priority 1 in the decision hierarchy. Crucially, the override is logged immutably to SQLite without deleting or rewriting previous attempt history.</w:t>
      </w:r>
    </w:p>
    <w:p>
      <w:pPr>
        <w:spacing w:before="100" w:after="20"/>
      </w:pPr>
      <w:r>
        <w:rPr>
          <w:rFonts w:ascii="Calibri" w:hAnsi="Calibri"/>
          <w:b/>
          <w:color w:val="B45309"/>
          <w:sz w:val="20"/>
        </w:rPr>
        <w:t>Q7: How does your 3D Knowledge Universe work technically?</w:t>
      </w:r>
    </w:p>
    <w:p>
      <w:pPr>
        <w:spacing w:before="0" w:after="100"/>
      </w:pPr>
      <w:r>
        <w:rPr>
          <w:rFonts w:ascii="Calibri" w:hAnsi="Calibri"/>
          <w:color w:val="1E293B"/>
          <w:sz w:val="19"/>
        </w:rPr>
        <w:t>Answer: It is built with Three.js (WebGL) running at 60 FPS in an isolated HTML5 iframe. Celestial spheres represent concepts positioned in 3D coordinate space based on topological graph depth. Prerequisite dependencies are rendered as glowing laser arcs with animated photon pulses flowing along bezier curves. It includes OrbitControls for 360° rotation and raycasting for click-to-inspect telemetry.</w:t>
      </w:r>
    </w:p>
    <w:p>
      <w:pPr>
        <w:spacing w:before="100" w:after="20"/>
      </w:pPr>
      <w:r>
        <w:rPr>
          <w:rFonts w:ascii="Calibri" w:hAnsi="Calibri"/>
          <w:b/>
          <w:color w:val="B45309"/>
          <w:sz w:val="20"/>
        </w:rPr>
        <w:t>Q8: How do you handle cold-start for a brand new student who has no history?</w:t>
      </w:r>
    </w:p>
    <w:p>
      <w:pPr>
        <w:spacing w:before="0" w:after="100"/>
      </w:pPr>
      <w:r>
        <w:rPr>
          <w:rFonts w:ascii="Calibri" w:hAnsi="Calibri"/>
          <w:color w:val="1E293B"/>
          <w:sz w:val="19"/>
        </w:rPr>
        <w:t>Answer: Instead of placing the student at Level 1 or assuming zero knowledge, our Diagnostic Engine applies Maximum Uncertainty Entropy Sampling. It presents 6 diagnostic questions on central hub nodes (C1, C2, C4, C6, C7, C8) and propagates evidence (0.3 x w) across graph edges, mapping the student's baseline knowledge frontier in just 6 clicks.</w:t>
      </w:r>
    </w:p>
    <w:p>
      <w:pPr>
        <w:spacing w:before="100" w:after="20"/>
      </w:pPr>
      <w:r>
        <w:rPr>
          <w:rFonts w:ascii="Calibri" w:hAnsi="Calibri"/>
          <w:b/>
          <w:color w:val="B45309"/>
          <w:sz w:val="20"/>
        </w:rPr>
        <w:t>Q9: What is Test 8 Reproducibility Proof?</w:t>
      </w:r>
    </w:p>
    <w:p>
      <w:pPr>
        <w:spacing w:before="0" w:after="100"/>
      </w:pPr>
      <w:r>
        <w:rPr>
          <w:rFonts w:ascii="Calibri" w:hAnsi="Calibri"/>
          <w:color w:val="1E293B"/>
          <w:sz w:val="19"/>
        </w:rPr>
        <w:t>Answer: Test 8 proves that the decision engine is 100% deterministic. Every decision logs an inputs_snapshot JSON payload containing the exact student state. Re-running the decision engine on that stored snapshot reconstructs the exact same action, target concept, rule, and pedagogical reason with zero variance.</w:t>
      </w:r>
    </w:p>
    <w:p>
      <w:pPr>
        <w:spacing w:before="100" w:after="20"/>
      </w:pPr>
      <w:r>
        <w:rPr>
          <w:rFonts w:ascii="Calibri" w:hAnsi="Calibri"/>
          <w:b/>
          <w:color w:val="B45309"/>
          <w:sz w:val="20"/>
        </w:rPr>
        <w:t>Q10: What is the tech stack breakdown?</w:t>
      </w:r>
    </w:p>
    <w:p>
      <w:pPr>
        <w:spacing w:before="0" w:after="100"/>
      </w:pPr>
      <w:r>
        <w:rPr>
          <w:rFonts w:ascii="Calibri" w:hAnsi="Calibri"/>
          <w:color w:val="1E293B"/>
          <w:sz w:val="19"/>
        </w:rPr>
        <w:t>Answer: Frontend: Python Streamlit 1.30+, Three.js (WebGL), Custom CSS3 Glassmorphism. Backend: Pure Python 3.10+ Decision Engine, BKT psychometrics, NetworkX-style DAG graph. API: FastAPI with Uvicorn and Pydantic v2 schemas. Database: SQLite 3 with 9 relational tables and ACID transactions.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