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rPr>
          <w:b w:val="1"/>
          <w:bCs w:val="1"/>
          <w:sz w:val="36"/>
          <w:szCs w:val="36"/>
        </w:rPr>
      </w:pPr>
      <w:r>
        <w:rPr>
          <w:b w:val="1"/>
          <w:bCs w:val="1"/>
          <w:sz w:val="36"/>
          <w:szCs w:val="36"/>
          <w:rtl w:val="0"/>
          <w:lang w:val="en-US"/>
        </w:rPr>
        <w:t>ENSE 405</w:t>
      </w:r>
    </w:p>
    <w:p>
      <w:pPr>
        <w:pStyle w:val="Body"/>
        <w:spacing w:after="0"/>
        <w:rPr>
          <w:b w:val="1"/>
          <w:bCs w:val="1"/>
          <w:sz w:val="28"/>
          <w:szCs w:val="28"/>
        </w:rPr>
      </w:pPr>
      <w:r>
        <w:rPr>
          <w:b w:val="1"/>
          <w:bCs w:val="1"/>
          <w:sz w:val="28"/>
          <w:szCs w:val="28"/>
          <w:rtl w:val="0"/>
          <w:lang w:val="en-US"/>
        </w:rPr>
        <w:t>Activity #2: Community characteristics &amp; orientation</w:t>
      </w:r>
    </w:p>
    <w:p>
      <w:pPr>
        <w:pStyle w:val="Body"/>
        <w:spacing w:after="0"/>
        <w:rPr>
          <w:lang w:val="en-US"/>
        </w:rPr>
      </w:pPr>
    </w:p>
    <w:tbl>
      <w:tblPr>
        <w:tblW w:w="108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52"/>
        <w:gridCol w:w="8338"/>
      </w:tblGrid>
      <w:tr>
        <w:tblPrEx>
          <w:shd w:val="clear" w:color="auto" w:fill="cdd4e9"/>
        </w:tblPrEx>
        <w:trPr>
          <w:trHeight w:val="231" w:hRule="atLeast"/>
        </w:trPr>
        <w:tc>
          <w:tcPr>
            <w:tcW w:type="dxa" w:w="2552"/>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Name:</w:t>
            </w:r>
          </w:p>
        </w:tc>
        <w:tc>
          <w:tcPr>
            <w:tcW w:type="dxa" w:w="833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Jaskirat Josan &amp; Onisokien Ayonoadu</w:t>
            </w:r>
          </w:p>
        </w:tc>
      </w:tr>
      <w:tr>
        <w:tblPrEx>
          <w:shd w:val="clear" w:color="auto" w:fill="cdd4e9"/>
        </w:tblPrEx>
        <w:trPr>
          <w:trHeight w:val="231" w:hRule="atLeast"/>
        </w:trPr>
        <w:tc>
          <w:tcPr>
            <w:tcW w:type="dxa" w:w="255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Community (UN SD goal):</w:t>
            </w:r>
          </w:p>
        </w:tc>
        <w:tc>
          <w:tcPr>
            <w:tcW w:type="dxa" w:w="83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Goal 2</w:t>
            </w:r>
          </w:p>
        </w:tc>
      </w:tr>
      <w:tr>
        <w:tblPrEx>
          <w:shd w:val="clear" w:color="auto" w:fill="cdd4e9"/>
        </w:tblPrEx>
        <w:trPr>
          <w:trHeight w:val="231" w:hRule="atLeast"/>
        </w:trPr>
        <w:tc>
          <w:tcPr>
            <w:tcW w:type="dxa" w:w="255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w:t>
            </w:r>
          </w:p>
        </w:tc>
        <w:tc>
          <w:tcPr>
            <w:tcW w:type="dxa" w:w="83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2-02-2021</w:t>
            </w:r>
          </w:p>
        </w:tc>
      </w:tr>
    </w:tbl>
    <w:p>
      <w:pPr>
        <w:pStyle w:val="Body"/>
        <w:widowControl w:val="0"/>
        <w:spacing w:after="0" w:line="240" w:lineRule="auto"/>
        <w:rPr>
          <w:lang w:val="en-US"/>
        </w:rPr>
      </w:pPr>
    </w:p>
    <w:p>
      <w:pPr>
        <w:pStyle w:val="Body"/>
        <w:spacing w:after="0"/>
        <w:rPr>
          <w:lang w:val="en-US"/>
        </w:rPr>
      </w:pPr>
    </w:p>
    <w:p>
      <w:pPr>
        <w:pStyle w:val="Body"/>
        <w:spacing w:after="0" w:line="240" w:lineRule="auto"/>
        <w:rPr>
          <w:b w:val="1"/>
          <w:bCs w:val="1"/>
        </w:rPr>
      </w:pPr>
      <w:r>
        <w:rPr>
          <w:b w:val="1"/>
          <w:bCs w:val="1"/>
          <w:rtl w:val="0"/>
          <w:lang w:val="fr-FR"/>
        </w:rPr>
        <w:t>Instructions</w:t>
      </w:r>
    </w:p>
    <w:p>
      <w:pPr>
        <w:pStyle w:val="Body"/>
        <w:spacing w:after="0"/>
      </w:pPr>
      <w:r>
        <w:rPr>
          <w:rtl w:val="0"/>
          <w:lang w:val="en-US"/>
        </w:rPr>
        <w:t>Research the community you are most interested in exploring using links from the UN Sustainable Goals website (</w:t>
      </w:r>
      <w:r>
        <w:rPr>
          <w:rStyle w:val="Hyperlink.0"/>
        </w:rPr>
        <w:fldChar w:fldCharType="begin" w:fldLock="0"/>
      </w:r>
      <w:r>
        <w:rPr>
          <w:rStyle w:val="Hyperlink.0"/>
        </w:rPr>
        <w:instrText xml:space="preserve"> HYPERLINK "https://www.un.org/sustainabledevelopment/"</w:instrText>
      </w:r>
      <w:r>
        <w:rPr>
          <w:rStyle w:val="Hyperlink.0"/>
        </w:rPr>
        <w:fldChar w:fldCharType="separate" w:fldLock="0"/>
      </w:r>
      <w:r>
        <w:rPr>
          <w:rStyle w:val="Hyperlink.0"/>
          <w:rtl w:val="0"/>
          <w:lang w:val="en-US"/>
        </w:rPr>
        <w:t>https://www.un.org/sustainabledevelopment/</w:t>
      </w:r>
      <w:r>
        <w:rPr/>
        <w:fldChar w:fldCharType="end" w:fldLock="0"/>
      </w:r>
      <w:r>
        <w:rPr>
          <w:rtl w:val="0"/>
          <w:lang w:val="en-US"/>
        </w:rPr>
        <w:t>) and others. In your exhaustive research, answer the following.</w:t>
      </w:r>
    </w:p>
    <w:p>
      <w:pPr>
        <w:pStyle w:val="Body"/>
        <w:spacing w:after="0"/>
        <w:rPr>
          <w:lang w:val="en-US"/>
        </w:rPr>
      </w:pPr>
    </w:p>
    <w:tbl>
      <w:tblPr>
        <w:tblW w:w="108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7"/>
        <w:gridCol w:w="447"/>
        <w:gridCol w:w="448"/>
        <w:gridCol w:w="448"/>
        <w:gridCol w:w="288"/>
        <w:gridCol w:w="160"/>
        <w:gridCol w:w="454"/>
        <w:gridCol w:w="358"/>
        <w:gridCol w:w="1356"/>
        <w:gridCol w:w="1305"/>
        <w:gridCol w:w="244"/>
        <w:gridCol w:w="1780"/>
        <w:gridCol w:w="3150"/>
      </w:tblGrid>
      <w:tr>
        <w:tblPrEx>
          <w:shd w:val="clear" w:color="auto" w:fill="cdd4e9"/>
        </w:tblPrEx>
        <w:trPr>
          <w:trHeight w:val="308"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top"/>
          </w:tcPr>
          <w:p>
            <w:pPr>
              <w:pStyle w:val="Body"/>
              <w:spacing w:before="60" w:after="60"/>
            </w:pPr>
            <w:r>
              <w:rPr>
                <w:b w:val="1"/>
                <w:bCs w:val="1"/>
                <w:sz w:val="28"/>
                <w:szCs w:val="28"/>
                <w:shd w:val="nil" w:color="auto" w:fill="auto"/>
                <w:rtl w:val="0"/>
                <w:lang w:val="en-US"/>
              </w:rPr>
              <w:t>Community characteristics</w:t>
            </w:r>
          </w:p>
        </w:tc>
      </w:tr>
      <w:tr>
        <w:tblPrEx>
          <w:shd w:val="clear" w:color="auto" w:fill="cdd4e9"/>
        </w:tblPrEx>
        <w:trPr>
          <w:trHeight w:val="221"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Community life-cycle (current state)</w:t>
            </w:r>
          </w:p>
        </w:tc>
      </w:tr>
      <w:tr>
        <w:tblPrEx>
          <w:shd w:val="clear" w:color="auto" w:fill="cdd4e9"/>
        </w:tblPrEx>
        <w:trPr>
          <w:trHeight w:val="48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Where is your community in its life-cycle?</w:t>
            </w:r>
          </w:p>
        </w:tc>
        <w:tc>
          <w:tcPr>
            <w:tcW w:type="dxa" w:w="29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What you need to focus on:</w:t>
            </w:r>
          </w:p>
        </w:tc>
        <w:tc>
          <w:tcPr>
            <w:tcW w:type="dxa" w:w="49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Special needs</w:t>
            </w:r>
          </w:p>
        </w:tc>
      </w:tr>
      <w:tr>
        <w:tblPrEx>
          <w:shd w:val="clear" w:color="auto" w:fill="cdd4e9"/>
        </w:tblPrEx>
        <w:trPr>
          <w:trHeight w:val="152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b w:val="1"/>
                <w:bCs w:val="1"/>
                <w:shd w:val="nil" w:color="auto" w:fill="auto"/>
              </w:rPr>
            </w:pPr>
            <w:r>
              <w:rPr>
                <w:rFonts w:ascii="MS Gothic" w:cs="MS Gothic" w:hAnsi="MS Gothic" w:eastAsia="MS Gothic" w:hint="default"/>
                <w:b w:val="1"/>
                <w:bCs w:val="1"/>
                <w:shd w:val="nil" w:color="auto" w:fill="auto"/>
                <w:rtl w:val="0"/>
                <w:lang w:val="en-US"/>
              </w:rPr>
              <w:t>☐</w:t>
            </w:r>
            <w:r>
              <w:rPr>
                <w:b w:val="1"/>
                <w:bCs w:val="1"/>
                <w:shd w:val="nil" w:color="auto" w:fill="auto"/>
                <w:rtl w:val="0"/>
                <w:lang w:val="en-US"/>
              </w:rPr>
              <w:t xml:space="preserve"> Just forming</w:t>
            </w:r>
          </w:p>
          <w:p>
            <w:pPr>
              <w:pStyle w:val="Body"/>
              <w:bidi w:val="0"/>
              <w:spacing w:before="60" w:after="60" w:line="240" w:lineRule="auto"/>
              <w:ind w:left="0" w:right="0" w:firstLine="0"/>
              <w:jc w:val="left"/>
              <w:rPr>
                <w:rtl w:val="0"/>
              </w:rPr>
            </w:pPr>
            <w:r>
              <w:rPr>
                <w:sz w:val="20"/>
                <w:szCs w:val="20"/>
                <w:shd w:val="nil" w:color="auto" w:fill="auto"/>
                <w:rtl w:val="0"/>
                <w:lang w:val="en-US"/>
              </w:rPr>
              <w:t>Need basic tools to connect, but not sure from there</w:t>
            </w:r>
          </w:p>
        </w:tc>
        <w:tc>
          <w:tcPr>
            <w:tcW w:type="dxa" w:w="29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Research and/or discuss the potential of some basic tools with members, explore what ideas it might give them, and see what they might bring in with them.</w:t>
            </w:r>
          </w:p>
        </w:tc>
        <w:tc>
          <w:tcPr>
            <w:tcW w:type="dxa" w:w="49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tc>
      </w:tr>
      <w:tr>
        <w:tblPrEx>
          <w:shd w:val="clear" w:color="auto" w:fill="cdd4e9"/>
        </w:tblPrEx>
        <w:trPr>
          <w:trHeight w:val="152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w:t>
            </w:r>
            <w:r>
              <w:rPr>
                <w:b w:val="1"/>
                <w:bCs w:val="1"/>
                <w:shd w:val="nil" w:color="auto" w:fill="auto"/>
                <w:rtl w:val="0"/>
                <w:lang w:val="en-US"/>
              </w:rPr>
              <w:t>Self-designing</w:t>
            </w:r>
          </w:p>
          <w:p>
            <w:pPr>
              <w:pStyle w:val="Body"/>
              <w:bidi w:val="0"/>
              <w:spacing w:before="60" w:after="60" w:line="240" w:lineRule="auto"/>
              <w:ind w:left="0" w:right="0" w:firstLine="0"/>
              <w:jc w:val="left"/>
              <w:rPr>
                <w:rtl w:val="0"/>
              </w:rPr>
            </w:pPr>
            <w:r>
              <w:rPr>
                <w:sz w:val="20"/>
                <w:szCs w:val="20"/>
                <w:shd w:val="nil" w:color="auto" w:fill="auto"/>
                <w:rtl w:val="0"/>
                <w:lang w:val="en-US"/>
              </w:rPr>
              <w:t>Information stage, but with a strong sense of what it wants to accomplish</w:t>
            </w:r>
          </w:p>
        </w:tc>
        <w:tc>
          <w:tcPr>
            <w:tcW w:type="dxa" w:w="29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Contribute ideas to the design. Analyze systematically the implications of their community design for technology, infrastructure, and technology skills.</w:t>
            </w:r>
          </w:p>
        </w:tc>
        <w:tc>
          <w:tcPr>
            <w:tcW w:type="dxa" w:w="49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community</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 problem is well defined on the UN website. Our website aims to add our perspective on a more concise blueprint of how and what to do to eradicate the problem of malnutrition.</w:t>
            </w:r>
          </w:p>
        </w:tc>
      </w:tr>
      <w:tr>
        <w:tblPrEx>
          <w:shd w:val="clear" w:color="auto" w:fill="cdd4e9"/>
        </w:tblPrEx>
        <w:trPr>
          <w:trHeight w:val="152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w:t>
            </w:r>
            <w:r>
              <w:rPr>
                <w:b w:val="1"/>
                <w:bCs w:val="1"/>
                <w:shd w:val="nil" w:color="auto" w:fill="auto"/>
                <w:rtl w:val="0"/>
                <w:lang w:val="en-US"/>
              </w:rPr>
              <w:t>Growing &amp; restless</w:t>
            </w:r>
          </w:p>
          <w:p>
            <w:pPr>
              <w:pStyle w:val="Body"/>
              <w:bidi w:val="0"/>
              <w:spacing w:before="60" w:after="60" w:line="240" w:lineRule="auto"/>
              <w:ind w:left="0" w:right="0" w:firstLine="0"/>
              <w:jc w:val="left"/>
              <w:rPr>
                <w:rtl w:val="0"/>
              </w:rPr>
            </w:pPr>
            <w:r>
              <w:rPr>
                <w:sz w:val="20"/>
                <w:szCs w:val="20"/>
                <w:shd w:val="nil" w:color="auto" w:fill="auto"/>
                <w:rtl w:val="0"/>
                <w:lang w:val="en-US"/>
              </w:rPr>
              <w:t>Ready to add new functionality to its tool configuration</w:t>
            </w:r>
          </w:p>
        </w:tc>
        <w:tc>
          <w:tcPr>
            <w:tcW w:type="dxa" w:w="29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Try to make this a community reflection and self-design event. Does their restlessness suggest a major change, such as a transition to a new platform?</w:t>
            </w:r>
          </w:p>
        </w:tc>
        <w:tc>
          <w:tcPr>
            <w:tcW w:type="dxa" w:w="49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tc>
      </w:tr>
      <w:tr>
        <w:tblPrEx>
          <w:shd w:val="clear" w:color="auto" w:fill="cdd4e9"/>
        </w:tblPrEx>
        <w:trPr>
          <w:trHeight w:val="126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w:t>
            </w:r>
            <w:r>
              <w:rPr>
                <w:b w:val="1"/>
                <w:bCs w:val="1"/>
                <w:shd w:val="nil" w:color="auto" w:fill="auto"/>
                <w:rtl w:val="0"/>
                <w:lang w:val="en-US"/>
              </w:rPr>
              <w:t>Stable and adapting</w:t>
            </w:r>
          </w:p>
          <w:p>
            <w:pPr>
              <w:pStyle w:val="Body"/>
              <w:bidi w:val="0"/>
              <w:spacing w:before="60" w:after="60" w:line="240" w:lineRule="auto"/>
              <w:ind w:left="0" w:right="0" w:firstLine="0"/>
              <w:jc w:val="left"/>
              <w:rPr>
                <w:rtl w:val="0"/>
              </w:rPr>
            </w:pPr>
            <w:r>
              <w:rPr>
                <w:sz w:val="20"/>
                <w:szCs w:val="20"/>
                <w:shd w:val="nil" w:color="auto" w:fill="auto"/>
                <w:rtl w:val="0"/>
                <w:lang w:val="en-US"/>
              </w:rPr>
              <w:t>Just needing some new tools</w:t>
            </w:r>
          </w:p>
        </w:tc>
        <w:tc>
          <w:tcPr>
            <w:tcW w:type="dxa" w:w="29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How much disruption will the community tolerate? How will the new tools be integrated into or affect existing practices?</w:t>
            </w:r>
          </w:p>
        </w:tc>
        <w:tc>
          <w:tcPr>
            <w:tcW w:type="dxa" w:w="49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8"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top"/>
          </w:tcPr>
          <w:p>
            <w:pPr>
              <w:pStyle w:val="Body"/>
              <w:spacing w:before="60" w:after="60" w:line="240" w:lineRule="auto"/>
            </w:pPr>
            <w:r>
              <w:rPr>
                <w:b w:val="1"/>
                <w:bCs w:val="1"/>
                <w:sz w:val="28"/>
                <w:szCs w:val="28"/>
                <w:shd w:val="nil" w:color="auto" w:fill="auto"/>
                <w:rtl w:val="0"/>
                <w:lang w:val="en-US"/>
              </w:rPr>
              <w:t>Constitution</w:t>
            </w:r>
          </w:p>
        </w:tc>
      </w:tr>
      <w:tr>
        <w:tblPrEx>
          <w:shd w:val="clear" w:color="auto" w:fill="cdd4e9"/>
        </w:tblPrEx>
        <w:trPr>
          <w:trHeight w:val="221"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 xml:space="preserve">Diversity: </w:t>
            </w:r>
            <w:r>
              <w:rPr>
                <w:b w:val="0"/>
                <w:bCs w:val="0"/>
                <w:shd w:val="nil" w:color="auto" w:fill="auto"/>
                <w:rtl w:val="0"/>
                <w:lang w:val="en-US"/>
              </w:rPr>
              <w:t>How diverse is the community?</w:t>
            </w:r>
          </w:p>
        </w:tc>
      </w:tr>
      <w:tr>
        <w:tblPrEx>
          <w:shd w:val="clear" w:color="auto" w:fill="cdd4e9"/>
        </w:tblPrEx>
        <w:trPr>
          <w:trHeight w:val="22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Topic</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Your notes</w:t>
            </w:r>
          </w:p>
        </w:tc>
      </w:tr>
      <w:tr>
        <w:tblPrEx>
          <w:shd w:val="clear" w:color="auto" w:fill="cdd4e9"/>
        </w:tblPrEx>
        <w:trPr>
          <w:trHeight w:val="228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What are the different types of members and what are their levels of participation?</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1"/>
              </w:numPr>
              <w:shd w:val="clear" w:color="auto" w:fill="auto"/>
              <w:suppressAutoHyphens w:val="0"/>
              <w:bidi w:val="0"/>
              <w:spacing w:before="60" w:after="6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The UN educators</w:t>
            </w:r>
          </w:p>
          <w:p>
            <w:pPr>
              <w:keepNext w:val="0"/>
              <w:keepLines w:val="0"/>
              <w:pageBreakBefore w:val="0"/>
              <w:widowControl w:val="1"/>
              <w:numPr>
                <w:ilvl w:val="0"/>
                <w:numId w:val="1"/>
              </w:numPr>
              <w:shd w:val="clear" w:color="auto" w:fill="auto"/>
              <w:suppressAutoHyphens w:val="0"/>
              <w:bidi w:val="0"/>
              <w:spacing w:before="60" w:after="6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The community educators</w:t>
            </w:r>
          </w:p>
          <w:p>
            <w:pPr>
              <w:keepNext w:val="0"/>
              <w:keepLines w:val="0"/>
              <w:pageBreakBefore w:val="0"/>
              <w:widowControl w:val="1"/>
              <w:numPr>
                <w:ilvl w:val="0"/>
                <w:numId w:val="1"/>
              </w:numPr>
              <w:shd w:val="clear" w:color="auto" w:fill="auto"/>
              <w:suppressAutoHyphens w:val="0"/>
              <w:bidi w:val="0"/>
              <w:spacing w:before="60" w:after="6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The locals</w:t>
            </w:r>
          </w:p>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The UN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educators provide knowledge the community educators about the techniques and methods that the communities will benefit from. The community educators go into the different communities and teach the locals about proper nutritional practices. The locals receive and hopefully implement the knowledge. </w:t>
            </w:r>
          </w:p>
        </w:tc>
      </w:tr>
      <w:tr>
        <w:tblPrEx>
          <w:shd w:val="clear" w:color="auto" w:fill="cdd4e9"/>
        </w:tblPrEx>
        <w:trPr>
          <w:trHeight w:val="48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How spread apart is it in terms of location and time zones?</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We are currently going to focus on Kenya. </w:t>
            </w:r>
          </w:p>
        </w:tc>
      </w:tr>
      <w:tr>
        <w:tblPrEx>
          <w:shd w:val="clear" w:color="auto" w:fill="cdd4e9"/>
        </w:tblPrEx>
        <w:trPr>
          <w:trHeight w:val="48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What language(s) do members speak?</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Swahili and English </w:t>
            </w:r>
          </w:p>
        </w:tc>
      </w:tr>
      <w:tr>
        <w:tblPrEx>
          <w:shd w:val="clear" w:color="auto" w:fill="cdd4e9"/>
        </w:tblPrEx>
        <w:trPr>
          <w:trHeight w:val="74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What other cultural or other diversity aspects may affect your technology choices?</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Currently we don't have anything in mind. </w:t>
            </w:r>
          </w:p>
        </w:tc>
      </w:tr>
      <w:tr>
        <w:tblPrEx>
          <w:shd w:val="clear" w:color="auto" w:fill="cdd4e9"/>
        </w:tblPrEx>
        <w:trPr>
          <w:trHeight w:val="221"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 xml:space="preserve">Openness: </w:t>
            </w:r>
            <w:r>
              <w:rPr>
                <w:shd w:val="nil" w:color="auto" w:fill="auto"/>
                <w:rtl w:val="0"/>
                <w:lang w:val="en-US"/>
              </w:rPr>
              <w:t>How connected to the outside world is your community?</w:t>
            </w:r>
          </w:p>
        </w:tc>
      </w:tr>
      <w:tr>
        <w:tblPrEx>
          <w:shd w:val="clear" w:color="auto" w:fill="cdd4e9"/>
        </w:tblPrEx>
        <w:trPr>
          <w:trHeight w:val="221" w:hRule="atLeast"/>
        </w:trPr>
        <w:tc>
          <w:tcPr>
            <w:tcW w:type="dxa" w:w="440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Topic</w:t>
            </w:r>
          </w:p>
        </w:tc>
        <w:tc>
          <w:tcPr>
            <w:tcW w:type="dxa" w:w="647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Your notes</w:t>
            </w:r>
          </w:p>
        </w:tc>
      </w:tr>
      <w:tr>
        <w:tblPrEx>
          <w:shd w:val="clear" w:color="auto" w:fill="cdd4e9"/>
        </w:tblPrEx>
        <w:trPr>
          <w:trHeight w:val="1521" w:hRule="atLeast"/>
        </w:trPr>
        <w:tc>
          <w:tcPr>
            <w:tcW w:type="dxa" w:w="207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How much do you want to control the boundaries of your community? Does your community need</w:t>
            </w:r>
          </w:p>
        </w:tc>
        <w:tc>
          <w:tcPr>
            <w:tcW w:type="dxa" w:w="232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792"/>
              </w:tabs>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To be private/secure</w:t>
            </w:r>
          </w:p>
          <w:p>
            <w:pPr>
              <w:pStyle w:val="Body"/>
              <w:tabs>
                <w:tab w:val="center" w:pos="1152"/>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Open boundaries</w:t>
            </w:r>
          </w:p>
          <w:p>
            <w:pPr>
              <w:pStyle w:val="Body"/>
              <w:tabs>
                <w:tab w:val="center" w:pos="1152"/>
              </w:tabs>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Both private &amp; public spaces</w:t>
            </w:r>
          </w:p>
        </w:tc>
        <w:tc>
          <w:tcPr>
            <w:tcW w:type="dxa" w:w="647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Both private &amp; public places. We want the entire population to be aware and involved in the education about nutrition. However, private places make sense when education about breastfeeding to the women needs to be done. </w:t>
            </w:r>
          </w:p>
        </w:tc>
      </w:tr>
      <w:tr>
        <w:tblPrEx>
          <w:shd w:val="clear" w:color="auto" w:fill="cdd4e9"/>
        </w:tblPrEx>
        <w:trPr>
          <w:trHeight w:val="1001" w:hRule="atLeast"/>
        </w:trPr>
        <w:tc>
          <w:tcPr>
            <w:tcW w:type="dxa" w:w="440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How does your community need to interact with other communities? Do you need common tools for sharing and learning with them?</w:t>
            </w:r>
          </w:p>
        </w:tc>
        <w:tc>
          <w:tcPr>
            <w:tcW w:type="dxa" w:w="647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Interaction with other communities may be done by face-to-face interactions.</w:t>
            </w:r>
          </w:p>
        </w:tc>
      </w:tr>
      <w:tr>
        <w:tblPrEx>
          <w:shd w:val="clear" w:color="auto" w:fill="cdd4e9"/>
        </w:tblPrEx>
        <w:trPr>
          <w:trHeight w:val="308"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top"/>
          </w:tcPr>
          <w:p>
            <w:pPr>
              <w:pStyle w:val="Body"/>
              <w:spacing w:before="60" w:after="60" w:line="240" w:lineRule="auto"/>
            </w:pPr>
            <w:r>
              <w:rPr>
                <w:b w:val="1"/>
                <w:bCs w:val="1"/>
                <w:sz w:val="28"/>
                <w:szCs w:val="28"/>
                <w:shd w:val="nil" w:color="auto" w:fill="auto"/>
                <w:rtl w:val="0"/>
                <w:lang w:val="en-US"/>
              </w:rPr>
              <w:t>Technology aspirations</w:t>
            </w:r>
          </w:p>
        </w:tc>
      </w:tr>
      <w:tr>
        <w:tblPrEx>
          <w:shd w:val="clear" w:color="auto" w:fill="cdd4e9"/>
        </w:tblPrEx>
        <w:trPr>
          <w:trHeight w:val="481"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Technology savvy, tolerance, &amp; constraints</w:t>
            </w:r>
            <w:r>
              <w:rPr>
                <w:shd w:val="nil" w:color="auto" w:fill="auto"/>
                <w:rtl w:val="0"/>
                <w:lang w:val="en-US"/>
              </w:rPr>
              <w:t>: What are your community</w:t>
            </w:r>
            <w:r>
              <w:rPr>
                <w:shd w:val="nil" w:color="auto" w:fill="auto"/>
                <w:rtl w:val="0"/>
                <w:lang w:val="en-US"/>
              </w:rPr>
              <w:t>’</w:t>
            </w:r>
            <w:r>
              <w:rPr>
                <w:shd w:val="nil" w:color="auto" w:fill="auto"/>
                <w:rtl w:val="0"/>
                <w:lang w:val="en-US"/>
              </w:rPr>
              <w:t>s technology interests and skills and patience thereof? What are the constraints imposed by technology factors?</w:t>
            </w:r>
          </w:p>
        </w:tc>
      </w:tr>
      <w:tr>
        <w:tblPrEx>
          <w:shd w:val="clear" w:color="auto" w:fill="cdd4e9"/>
        </w:tblPrEx>
        <w:trPr>
          <w:trHeight w:val="22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Topic</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Your notes</w:t>
            </w:r>
          </w:p>
        </w:tc>
      </w:tr>
      <w:tr>
        <w:tblPrEx>
          <w:shd w:val="clear" w:color="auto" w:fill="cdd4e9"/>
        </w:tblPrEx>
        <w:trPr>
          <w:trHeight w:val="48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How interested is your community in technology?</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We think the communities interest lies more in the knowledge that our technology can provide them rather than the technology itself. </w:t>
            </w:r>
          </w:p>
        </w:tc>
      </w:tr>
      <w:tr>
        <w:tblPrEx>
          <w:shd w:val="clear" w:color="auto" w:fill="cdd4e9"/>
        </w:tblPrEx>
        <w:trPr>
          <w:trHeight w:val="100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What is their capacity for learning new tools?</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community would find the knowledge available through the technology more valuable than the technology itself. The community does not particularly need to learn the technology  but rather just have access to the knowledge which is to be provided by the community educators anyways. </w:t>
            </w:r>
          </w:p>
        </w:tc>
      </w:tr>
      <w:tr>
        <w:tblPrEx>
          <w:shd w:val="clear" w:color="auto" w:fill="cdd4e9"/>
        </w:tblPrEx>
        <w:trPr>
          <w:trHeight w:val="100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What is the range of skills? If their interests and/or skills are diverse, could it cause conflict or distraction?</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skill-level ranges from the very tech-savvy individuals to close to no experience at all with technology. We don</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 expect this to be a problem because we have no technical expectations from them.</w:t>
            </w:r>
          </w:p>
        </w:tc>
      </w:tr>
      <w:tr>
        <w:tblPrEx>
          <w:shd w:val="clear" w:color="auto" w:fill="cdd4e9"/>
        </w:tblPrEx>
        <w:trPr>
          <w:trHeight w:val="74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How tolerant are members of the adoption of a wide variety of tools?</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From our research so far, we can see that members are somewhat open to using a variety of tools.</w:t>
            </w:r>
          </w:p>
        </w:tc>
      </w:tr>
      <w:tr>
        <w:tblPrEx>
          <w:shd w:val="clear" w:color="auto" w:fill="cdd4e9"/>
        </w:tblPrEx>
        <w:trPr>
          <w:trHeight w:val="204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How many technological boundaries are they willing to cross, e.g. sign in to more than one web-based tool, learn to use new tools, or give up old favorites? This helps you understand what level of integration you need.</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locals (consumers) will not have to cross any technological boundaries they are unfamiliar with. The technological side of things (which requires basic knowledge on websites) will be done by the educators.</w:t>
            </w:r>
          </w:p>
        </w:tc>
      </w:tr>
      <w:tr>
        <w:tblPrEx>
          <w:shd w:val="clear" w:color="auto" w:fill="cdd4e9"/>
        </w:tblPrEx>
        <w:trPr>
          <w:trHeight w:val="100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shd w:val="nil" w:color="auto" w:fill="auto"/>
                <w:rtl w:val="0"/>
                <w:lang w:val="en-US"/>
              </w:rPr>
              <w:t>What are your members</w:t>
            </w:r>
            <w:r>
              <w:rPr>
                <w:shd w:val="nil" w:color="auto" w:fill="auto"/>
                <w:rtl w:val="0"/>
                <w:lang w:val="en-US"/>
              </w:rPr>
              <w:t xml:space="preserve">’ </w:t>
            </w:r>
            <w:r>
              <w:rPr>
                <w:shd w:val="nil" w:color="auto" w:fill="auto"/>
                <w:rtl w:val="0"/>
                <w:lang w:val="en-US"/>
              </w:rPr>
              <w:t>technology constraints (e.g., bandwidth, operating systems, etc.)?</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educators using our website for delivery will have the constraints of a working device </w:t>
            </w:r>
          </w:p>
        </w:tc>
      </w:tr>
      <w:tr>
        <w:tblPrEx>
          <w:shd w:val="clear" w:color="auto" w:fill="cdd4e9"/>
        </w:tblPrEx>
        <w:trPr>
          <w:trHeight w:val="2301" w:hRule="atLeast"/>
        </w:trPr>
        <w:tc>
          <w:tcPr>
            <w:tcW w:type="dxa" w:w="305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hd w:val="nil" w:color="auto" w:fill="auto"/>
                <w:rtl w:val="0"/>
                <w:lang w:val="en-US"/>
              </w:rPr>
              <w:t>How much time are members able to be online and from where (office, home, field)? Some people have limited online time, or are able to be online only in specific locations. Others are always on. Very diverse situations can affect participation</w:t>
            </w:r>
          </w:p>
        </w:tc>
        <w:tc>
          <w:tcPr>
            <w:tcW w:type="dxa" w:w="783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We don't expect community members (locals) to be online. The online time for educators may vary based on importance.</w:t>
            </w:r>
          </w:p>
        </w:tc>
      </w:tr>
      <w:tr>
        <w:tblPrEx>
          <w:shd w:val="clear" w:color="auto" w:fill="cdd4e9"/>
        </w:tblPrEx>
        <w:trPr>
          <w:trHeight w:val="308"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6e7"/>
            <w:tcMar>
              <w:top w:type="dxa" w:w="80"/>
              <w:left w:type="dxa" w:w="80"/>
              <w:bottom w:type="dxa" w:w="80"/>
              <w:right w:type="dxa" w:w="80"/>
            </w:tcMar>
            <w:vAlign w:val="top"/>
          </w:tcPr>
          <w:p>
            <w:pPr>
              <w:pStyle w:val="Body"/>
              <w:spacing w:before="60" w:after="60" w:line="240" w:lineRule="auto"/>
            </w:pPr>
            <w:r>
              <w:rPr>
                <w:b w:val="1"/>
                <w:bCs w:val="1"/>
                <w:sz w:val="28"/>
                <w:szCs w:val="28"/>
                <w:shd w:val="nil" w:color="auto" w:fill="auto"/>
                <w:rtl w:val="0"/>
                <w:lang w:val="en-US"/>
              </w:rPr>
              <w:t>Community orientation</w:t>
            </w:r>
          </w:p>
        </w:tc>
      </w:tr>
      <w:tr>
        <w:tblPrEx>
          <w:shd w:val="clear" w:color="auto" w:fill="cdd4e9"/>
        </w:tblPrEx>
        <w:trPr>
          <w:trHeight w:val="741"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Relevance to community</w:t>
            </w:r>
            <w:r>
              <w:rPr>
                <w:shd w:val="nil" w:color="auto" w:fill="auto"/>
                <w:rtl w:val="0"/>
                <w:lang w:val="en-US"/>
              </w:rPr>
              <w:t xml:space="preserve">: Use the range from 0 (no relevance) to 5 (high relevance) to determine what matters most to the community. Look at these from the perspectives of the different types of members (under </w:t>
            </w:r>
            <w:r>
              <w:rPr>
                <w:shd w:val="nil" w:color="auto" w:fill="auto"/>
                <w:rtl w:val="0"/>
                <w:lang w:val="en-US"/>
              </w:rPr>
              <w:t>“</w:t>
            </w:r>
            <w:r>
              <w:rPr>
                <w:shd w:val="nil" w:color="auto" w:fill="auto"/>
                <w:rtl w:val="0"/>
                <w:lang w:val="en-US"/>
              </w:rPr>
              <w:t>constitution</w:t>
            </w:r>
            <w:r>
              <w:rPr>
                <w:shd w:val="nil" w:color="auto" w:fill="auto"/>
                <w:rtl w:val="0"/>
                <w:lang w:val="en-US"/>
              </w:rPr>
              <w:t>”</w:t>
            </w:r>
            <w:r>
              <w:rPr>
                <w:shd w:val="nil" w:color="auto" w:fill="auto"/>
                <w:rtl w:val="0"/>
                <w:lang w:val="en-US"/>
              </w:rPr>
              <w:t xml:space="preserve">). Also discuss the </w:t>
            </w:r>
            <w:r>
              <w:rPr>
                <w:shd w:val="nil" w:color="auto" w:fill="auto"/>
                <w:rtl w:val="0"/>
                <w:lang w:val="en-US"/>
              </w:rPr>
              <w:t>“</w:t>
            </w:r>
            <w:r>
              <w:rPr>
                <w:shd w:val="nil" w:color="auto" w:fill="auto"/>
                <w:rtl w:val="0"/>
                <w:lang w:val="en-US"/>
              </w:rPr>
              <w:t>value-added</w:t>
            </w:r>
            <w:r>
              <w:rPr>
                <w:shd w:val="nil" w:color="auto" w:fill="auto"/>
                <w:rtl w:val="0"/>
                <w:lang w:val="en-US"/>
              </w:rPr>
              <w:t xml:space="preserve">” </w:t>
            </w:r>
            <w:r>
              <w:rPr>
                <w:shd w:val="nil" w:color="auto" w:fill="auto"/>
                <w:rtl w:val="0"/>
                <w:lang w:val="en-US"/>
              </w:rPr>
              <w:t>to each member group</w:t>
            </w:r>
          </w:p>
        </w:tc>
      </w:tr>
      <w:tr>
        <w:tblPrEx>
          <w:shd w:val="clear" w:color="auto" w:fill="cdd4e9"/>
        </w:tblPrEx>
        <w:trPr>
          <w:trHeight w:val="221"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jc w:val="center"/>
            </w:pPr>
            <w:r>
              <w:rPr>
                <w:b w:val="1"/>
                <w:bCs w:val="1"/>
                <w:shd w:val="nil" w:color="auto" w:fill="auto"/>
                <w:rtl w:val="0"/>
                <w:lang w:val="en-US"/>
              </w:rPr>
              <w:t>0</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jc w:val="center"/>
            </w:pPr>
            <w:r>
              <w:rPr>
                <w:b w:val="1"/>
                <w:bCs w:val="1"/>
                <w:shd w:val="nil" w:color="auto" w:fill="auto"/>
                <w:rtl w:val="0"/>
                <w:lang w:val="en-US"/>
              </w:rPr>
              <w:t>1</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jc w:val="center"/>
            </w:pPr>
            <w:r>
              <w:rPr>
                <w:b w:val="1"/>
                <w:bCs w:val="1"/>
                <w:shd w:val="nil" w:color="auto" w:fill="auto"/>
                <w:rtl w:val="0"/>
                <w:lang w:val="en-US"/>
              </w:rPr>
              <w:t>2</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jc w:val="center"/>
            </w:pPr>
            <w:r>
              <w:rPr>
                <w:b w:val="1"/>
                <w:bCs w:val="1"/>
                <w:shd w:val="nil" w:color="auto" w:fill="auto"/>
                <w:rtl w:val="0"/>
                <w:lang w:val="en-US"/>
              </w:rPr>
              <w:t>3</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jc w:val="center"/>
            </w:pPr>
            <w:r>
              <w:rPr>
                <w:b w:val="1"/>
                <w:bCs w:val="1"/>
                <w:shd w:val="nil" w:color="auto" w:fill="auto"/>
                <w:rtl w:val="0"/>
                <w:lang w:val="en-US"/>
              </w:rPr>
              <w:t>4</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jc w:val="center"/>
            </w:pPr>
            <w:r>
              <w:rPr>
                <w:b w:val="1"/>
                <w:bCs w:val="1"/>
                <w:shd w:val="nil" w:color="auto" w:fill="auto"/>
                <w:rtl w:val="0"/>
                <w:lang w:val="en-US"/>
              </w:rPr>
              <w:t>5</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Orientations</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Variants</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before="60" w:after="60" w:line="240" w:lineRule="auto"/>
            </w:pPr>
            <w:r>
              <w:rPr>
                <w:b w:val="1"/>
                <w:bCs w:val="1"/>
                <w:shd w:val="nil" w:color="auto" w:fill="auto"/>
                <w:rtl w:val="0"/>
                <w:lang w:val="en-US"/>
              </w:rPr>
              <w:t>Key activities/your notes</w:t>
            </w:r>
          </w:p>
        </w:tc>
      </w:tr>
      <w:tr>
        <w:tblPrEx>
          <w:shd w:val="clear" w:color="auto" w:fill="cdd4e9"/>
        </w:tblPrEx>
        <w:trPr>
          <w:trHeight w:val="2821"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Meetings</w:t>
            </w:r>
            <w:r>
              <w:rPr>
                <w:b w:val="1"/>
                <w:bCs w:val="1"/>
                <w:shd w:val="nil" w:color="auto" w:fill="auto"/>
                <w:rtl w:val="0"/>
                <w:lang w:val="en-US"/>
              </w:rPr>
              <w:t xml:space="preserve"> (3)</w:t>
            </w:r>
          </w:p>
          <w:p>
            <w:pPr>
              <w:pStyle w:val="Body"/>
              <w:bidi w:val="0"/>
              <w:spacing w:before="60" w:after="60" w:line="240" w:lineRule="auto"/>
              <w:ind w:left="0" w:right="0" w:firstLine="0"/>
              <w:jc w:val="left"/>
              <w:rPr>
                <w:rtl w:val="0"/>
              </w:rPr>
            </w:pPr>
            <w:r>
              <w:rPr>
                <w:sz w:val="20"/>
                <w:szCs w:val="20"/>
                <w:shd w:val="nil" w:color="auto" w:fill="auto"/>
                <w:rtl w:val="0"/>
                <w:lang w:val="en-US"/>
              </w:rPr>
              <w:t>Many communities place a great emphasis on regular meetings where members engage in shared activities for a specific time. Meetings, and the visible participation of members, assert the community</w:t>
            </w:r>
            <w:r>
              <w:rPr>
                <w:sz w:val="20"/>
                <w:szCs w:val="20"/>
                <w:shd w:val="nil" w:color="auto" w:fill="auto"/>
                <w:rtl w:val="0"/>
                <w:lang w:val="en-US"/>
              </w:rPr>
              <w:t>’</w:t>
            </w:r>
            <w:r>
              <w:rPr>
                <w:sz w:val="20"/>
                <w:szCs w:val="20"/>
                <w:shd w:val="nil" w:color="auto" w:fill="auto"/>
                <w:rtl w:val="0"/>
                <w:lang w:val="en-US"/>
              </w:rPr>
              <w:t>s existence</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65"/>
              </w:tabs>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Face-to-face/blended</w:t>
            </w:r>
            <w:r>
              <w:rPr>
                <w:shd w:val="nil" w:color="auto" w:fill="auto"/>
                <w:rtl w:val="0"/>
                <w:lang w:val="en-US"/>
              </w:rPr>
              <w:t xml:space="preserve"> </w:t>
            </w:r>
          </w:p>
          <w:p>
            <w:pPr>
              <w:pStyle w:val="Body"/>
              <w:tabs>
                <w:tab w:val="center" w:pos="1252"/>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Online synchronous</w:t>
            </w:r>
          </w:p>
          <w:p>
            <w:pPr>
              <w:pStyle w:val="Body"/>
              <w:tabs>
                <w:tab w:val="left" w:pos="1710"/>
              </w:tabs>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Online asynchronous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All three variants could be used for meetings in this project. The UN educators could deliver content to community educators using any of these methods. Our proffered way of educating  consumers(locals) will be the face-to-face method but provisions could always be made for delivering content with another variant.</w:t>
            </w:r>
          </w:p>
        </w:tc>
      </w:tr>
      <w:tr>
        <w:tblPrEx>
          <w:shd w:val="clear" w:color="auto" w:fill="cdd4e9"/>
        </w:tblPrEx>
        <w:trPr>
          <w:trHeight w:val="236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Open-ended conversation</w:t>
            </w:r>
          </w:p>
          <w:p>
            <w:pPr>
              <w:pStyle w:val="Body"/>
              <w:bidi w:val="0"/>
              <w:spacing w:before="60" w:after="60" w:line="240" w:lineRule="auto"/>
              <w:ind w:left="0" w:right="0" w:firstLine="0"/>
              <w:jc w:val="left"/>
              <w:rPr>
                <w:rtl w:val="0"/>
              </w:rPr>
            </w:pPr>
            <w:r>
              <w:rPr>
                <w:sz w:val="20"/>
                <w:szCs w:val="20"/>
                <w:shd w:val="nil" w:color="auto" w:fill="auto"/>
                <w:rtl w:val="0"/>
                <w:lang w:val="en-US"/>
              </w:rPr>
              <w:t xml:space="preserve">Some communities maintain ongoing conversations as their primary vehicles for learning. Open-ended conversations are common when a community is co-located and people keep the conversation going as they </w:t>
            </w:r>
            <w:r>
              <w:rPr>
                <w:sz w:val="20"/>
                <w:szCs w:val="20"/>
                <w:shd w:val="nil" w:color="auto" w:fill="auto"/>
                <w:rtl w:val="0"/>
                <w:lang w:val="en-US"/>
              </w:rPr>
              <w:t>“</w:t>
            </w:r>
            <w:r>
              <w:rPr>
                <w:sz w:val="20"/>
                <w:szCs w:val="20"/>
                <w:shd w:val="nil" w:color="auto" w:fill="auto"/>
                <w:rtl w:val="0"/>
                <w:lang w:val="en-US"/>
              </w:rPr>
              <w:t>bump</w:t>
            </w:r>
            <w:r>
              <w:rPr>
                <w:sz w:val="20"/>
                <w:szCs w:val="20"/>
                <w:shd w:val="nil" w:color="auto" w:fill="auto"/>
                <w:rtl w:val="0"/>
                <w:lang w:val="en-US"/>
              </w:rPr>
              <w:t xml:space="preserve">” </w:t>
            </w:r>
            <w:r>
              <w:rPr>
                <w:sz w:val="20"/>
                <w:szCs w:val="20"/>
                <w:shd w:val="nil" w:color="auto" w:fill="auto"/>
                <w:rtl w:val="0"/>
                <w:lang w:val="en-US"/>
              </w:rPr>
              <w:t xml:space="preserve">into each other. </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tabs>
                <w:tab w:val="center" w:pos="1197"/>
              </w:tabs>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Single-stream discussions</w:t>
            </w:r>
          </w:p>
          <w:p>
            <w:pPr>
              <w:pStyle w:val="Body"/>
              <w:tabs>
                <w:tab w:val="center" w:pos="1197"/>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Multi-topic conversations</w:t>
            </w:r>
          </w:p>
          <w:p>
            <w:pPr>
              <w:pStyle w:val="Body"/>
              <w:tabs>
                <w:tab w:val="center" w:pos="1197"/>
              </w:tabs>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Distributed conversations</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final plan (or any other new findings from research) will be deliberated upon using single-stream discussions with educators. </w:t>
            </w:r>
          </w:p>
        </w:tc>
      </w:tr>
      <w:tr>
        <w:tblPrEx>
          <w:shd w:val="clear" w:color="auto" w:fill="cdd4e9"/>
        </w:tblPrEx>
        <w:trPr>
          <w:trHeight w:val="314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Projects</w:t>
            </w:r>
          </w:p>
          <w:p>
            <w:pPr>
              <w:pStyle w:val="Body"/>
              <w:bidi w:val="0"/>
              <w:spacing w:before="60" w:after="60" w:line="240" w:lineRule="auto"/>
              <w:ind w:left="0" w:right="0" w:firstLine="0"/>
              <w:jc w:val="left"/>
              <w:rPr>
                <w:rtl w:val="0"/>
              </w:rPr>
            </w:pPr>
            <w:r>
              <w:rPr>
                <w:sz w:val="20"/>
                <w:szCs w:val="20"/>
                <w:shd w:val="nil" w:color="auto" w:fill="auto"/>
                <w:rtl w:val="0"/>
                <w:lang w:val="en-US"/>
              </w:rPr>
              <w:t>In some communities</w:t>
            </w:r>
            <w:r>
              <w:rPr>
                <w:sz w:val="20"/>
                <w:szCs w:val="20"/>
                <w:shd w:val="nil" w:color="auto" w:fill="auto"/>
                <w:rtl w:val="0"/>
                <w:lang w:val="en-US"/>
              </w:rPr>
              <w:t xml:space="preserve">’ </w:t>
            </w:r>
            <w:r>
              <w:rPr>
                <w:sz w:val="20"/>
                <w:szCs w:val="20"/>
                <w:shd w:val="nil" w:color="auto" w:fill="auto"/>
                <w:rtl w:val="0"/>
                <w:lang w:val="en-US"/>
              </w:rPr>
              <w:t>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1332"/>
              </w:tabs>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Practice groups</w:t>
            </w:r>
          </w:p>
          <w:p>
            <w:pPr>
              <w:pStyle w:val="Body"/>
              <w:tabs>
                <w:tab w:val="center" w:pos="1332"/>
                <w:tab w:val="left" w:pos="1740"/>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Project teams</w:t>
            </w:r>
          </w:p>
          <w:p>
            <w:pPr>
              <w:pStyle w:val="Body"/>
              <w:tabs>
                <w:tab w:val="center" w:pos="1332"/>
              </w:tabs>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Instruction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All three variants will be used in this as learning about malnutrition and how to prevent it is a community-wide effort.</w:t>
            </w:r>
          </w:p>
        </w:tc>
      </w:tr>
      <w:tr>
        <w:tblPrEx>
          <w:shd w:val="clear" w:color="auto" w:fill="cdd4e9"/>
        </w:tblPrEx>
        <w:trPr>
          <w:trHeight w:val="184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Content</w:t>
            </w:r>
          </w:p>
          <w:p>
            <w:pPr>
              <w:pStyle w:val="Body"/>
              <w:bidi w:val="0"/>
              <w:spacing w:before="60" w:after="60" w:line="240" w:lineRule="auto"/>
              <w:ind w:left="0" w:right="0" w:firstLine="0"/>
              <w:jc w:val="left"/>
              <w:rPr>
                <w:rtl w:val="0"/>
              </w:rPr>
            </w:pPr>
            <w:r>
              <w:rPr>
                <w:sz w:val="20"/>
                <w:szCs w:val="20"/>
                <w:shd w:val="nil" w:color="auto" w:fill="auto"/>
                <w:rtl w:val="0"/>
                <w:lang w:val="en-US"/>
              </w:rPr>
              <w:t>Some communities are primarily interested in creating, sharing, and providing access to documents, tools, and other content. Valuable and well-organized content is a useful resource for members</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tabs>
                <w:tab w:val="center" w:pos="1332"/>
              </w:tabs>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Library</w:t>
            </w:r>
          </w:p>
          <w:p>
            <w:pPr>
              <w:pStyle w:val="Body"/>
              <w:tabs>
                <w:tab w:val="center" w:pos="1332"/>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Structured self-publish</w:t>
            </w:r>
          </w:p>
          <w:p>
            <w:pPr>
              <w:pStyle w:val="Body"/>
              <w:tabs>
                <w:tab w:val="center" w:pos="1332"/>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Open self-publish</w:t>
            </w:r>
          </w:p>
          <w:p>
            <w:pPr>
              <w:pStyle w:val="Body"/>
              <w:tabs>
                <w:tab w:val="center" w:pos="1332"/>
              </w:tabs>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Content integration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All the content on our website is going to be heavily researched and supported by facts and so we need the validity of our content to remain intact, thus the content needs to be monitored and integrated by us.</w:t>
            </w:r>
          </w:p>
        </w:tc>
      </w:tr>
      <w:tr>
        <w:tblPrEx>
          <w:shd w:val="clear" w:color="auto" w:fill="cdd4e9"/>
        </w:tblPrEx>
        <w:trPr>
          <w:trHeight w:val="288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Access to expertise</w:t>
            </w:r>
          </w:p>
          <w:p>
            <w:pPr>
              <w:pStyle w:val="Body"/>
              <w:bidi w:val="0"/>
              <w:spacing w:before="60" w:after="60" w:line="240" w:lineRule="auto"/>
              <w:ind w:left="0" w:right="0" w:firstLine="0"/>
              <w:jc w:val="left"/>
              <w:rPr>
                <w:rtl w:val="0"/>
              </w:rPr>
            </w:pPr>
            <w:r>
              <w:rPr>
                <w:sz w:val="20"/>
                <w:szCs w:val="20"/>
                <w:shd w:val="nil" w:color="auto" w:fill="auto"/>
                <w:rtl w:val="0"/>
                <w:lang w:val="en-US"/>
              </w:rPr>
              <w:t>Some communities create value by providing focused and timely access to expertise in the community</w:t>
            </w:r>
            <w:r>
              <w:rPr>
                <w:sz w:val="20"/>
                <w:szCs w:val="20"/>
                <w:shd w:val="nil" w:color="auto" w:fill="auto"/>
                <w:rtl w:val="0"/>
                <w:lang w:val="en-US"/>
              </w:rPr>
              <w:t>’</w:t>
            </w:r>
            <w:r>
              <w:rPr>
                <w:sz w:val="20"/>
                <w:szCs w:val="20"/>
                <w:shd w:val="nil" w:color="auto" w:fill="auto"/>
                <w:rtl w:val="0"/>
                <w:lang w:val="en-US"/>
              </w:rPr>
              <w:t>s domain, whether internally or externally. Communities with this orientation focus on answering questions, fulfilling requests for advice, or engaging in collaborative, just-in-time problem solving</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1332"/>
              </w:tabs>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Questions &amp; requests</w:t>
            </w:r>
          </w:p>
          <w:p>
            <w:pPr>
              <w:pStyle w:val="Body"/>
              <w:tabs>
                <w:tab w:val="center" w:pos="1332"/>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Access to experts</w:t>
            </w:r>
          </w:p>
          <w:p>
            <w:pPr>
              <w:pStyle w:val="Body"/>
              <w:tabs>
                <w:tab w:val="center" w:pos="1332"/>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Shared problem solving</w:t>
            </w:r>
          </w:p>
          <w:p>
            <w:pPr>
              <w:pStyle w:val="Body"/>
              <w:tabs>
                <w:tab w:val="center" w:pos="1332"/>
              </w:tabs>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Knowledge validation</w:t>
            </w:r>
          </w:p>
          <w:p>
            <w:pPr>
              <w:pStyle w:val="Body"/>
              <w:tabs>
                <w:tab w:val="center" w:pos="1332"/>
              </w:tabs>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Apprenticeship &amp; mentoring</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Having experts doing the groundwork in the community is very vital as problems may arise that are subjective and would need critical-thinking to solve.</w:t>
            </w:r>
          </w:p>
        </w:tc>
      </w:tr>
      <w:tr>
        <w:tblPrEx>
          <w:shd w:val="clear" w:color="auto" w:fill="cdd4e9"/>
        </w:tblPrEx>
        <w:trPr>
          <w:trHeight w:val="340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Relationships</w:t>
            </w:r>
          </w:p>
          <w:p>
            <w:pPr>
              <w:pStyle w:val="Body"/>
              <w:bidi w:val="0"/>
              <w:spacing w:before="60" w:after="60" w:line="240" w:lineRule="auto"/>
              <w:ind w:left="0" w:right="0" w:firstLine="0"/>
              <w:jc w:val="left"/>
              <w:rPr>
                <w:rtl w:val="0"/>
              </w:rPr>
            </w:pPr>
            <w:r>
              <w:rPr>
                <w:sz w:val="20"/>
                <w:szCs w:val="20"/>
                <w:shd w:val="nil" w:color="auto" w:fill="auto"/>
                <w:rtl w:val="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Connecting</w:t>
            </w:r>
          </w:p>
          <w:p>
            <w:pPr>
              <w:pStyle w:val="Body"/>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Knowing about people</w:t>
            </w:r>
          </w:p>
          <w:p>
            <w:pPr>
              <w:pStyle w:val="Body"/>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Interacting informally</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All variants are important to our community as the community educators can connect, know more about the people and also possibly interact informally with them.</w:t>
            </w:r>
          </w:p>
        </w:tc>
      </w:tr>
      <w:tr>
        <w:tblPrEx>
          <w:shd w:val="clear" w:color="auto" w:fill="cdd4e9"/>
        </w:tblPrEx>
        <w:trPr>
          <w:trHeight w:val="314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Individual participation</w:t>
            </w:r>
          </w:p>
          <w:p>
            <w:pPr>
              <w:pStyle w:val="Body"/>
              <w:bidi w:val="0"/>
              <w:spacing w:before="60" w:after="60" w:line="240" w:lineRule="auto"/>
              <w:ind w:left="0" w:right="0" w:firstLine="0"/>
              <w:jc w:val="left"/>
              <w:rPr>
                <w:rtl w:val="0"/>
              </w:rPr>
            </w:pPr>
            <w:r>
              <w:rPr>
                <w:sz w:val="20"/>
                <w:szCs w:val="20"/>
                <w:shd w:val="nil" w:color="auto" w:fill="auto"/>
                <w:rtl w:val="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Levels of participation</w:t>
            </w:r>
          </w:p>
          <w:p>
            <w:pPr>
              <w:pStyle w:val="Body"/>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Personalization</w:t>
            </w:r>
          </w:p>
          <w:p>
            <w:pPr>
              <w:pStyle w:val="Body"/>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Individual development</w:t>
            </w:r>
          </w:p>
          <w:p>
            <w:pPr>
              <w:pStyle w:val="Body"/>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Multi-membership</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62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Community cultivation</w:t>
            </w:r>
          </w:p>
          <w:p>
            <w:pPr>
              <w:pStyle w:val="Body"/>
              <w:bidi w:val="0"/>
              <w:spacing w:before="60" w:after="60" w:line="240" w:lineRule="auto"/>
              <w:ind w:left="0" w:right="0" w:firstLine="0"/>
              <w:jc w:val="left"/>
              <w:rPr>
                <w:rtl w:val="0"/>
              </w:rPr>
            </w:pPr>
            <w:r>
              <w:rPr>
                <w:sz w:val="20"/>
                <w:szCs w:val="20"/>
                <w:shd w:val="nil" w:color="auto" w:fill="auto"/>
                <w:rtl w:val="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Democratic governance</w:t>
            </w:r>
          </w:p>
          <w:p>
            <w:pPr>
              <w:pStyle w:val="Body"/>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Strong core group</w:t>
            </w:r>
          </w:p>
          <w:p>
            <w:pPr>
              <w:pStyle w:val="Body"/>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Internal coordination</w:t>
            </w:r>
          </w:p>
          <w:p>
            <w:pPr>
              <w:pStyle w:val="Body"/>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External facilitation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tc>
      </w:tr>
      <w:tr>
        <w:tblPrEx>
          <w:shd w:val="clear" w:color="auto" w:fill="cdd4e9"/>
        </w:tblPrEx>
        <w:trPr>
          <w:trHeight w:val="3666" w:hRule="atLeast"/>
        </w:trPr>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MS Gothic" w:cs="MS Gothic" w:hAnsi="MS Gothic" w:eastAsia="MS Gothic"/>
                <w:shd w:val="nil" w:color="auto" w:fill="auto"/>
                <w:rtl w:val="0"/>
                <w:lang w:val="en-US"/>
              </w:rPr>
              <w:t>☐</w:t>
            </w:r>
          </w:p>
        </w:tc>
        <w:tc>
          <w:tcPr>
            <w:tcW w:type="dxa" w:w="30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b w:val="1"/>
                <w:bCs w:val="1"/>
                <w:shd w:val="nil" w:color="auto" w:fill="auto"/>
              </w:rPr>
            </w:pPr>
            <w:r>
              <w:rPr>
                <w:b w:val="1"/>
                <w:bCs w:val="1"/>
                <w:shd w:val="nil" w:color="auto" w:fill="auto"/>
                <w:rtl w:val="0"/>
                <w:lang w:val="en-US"/>
              </w:rPr>
              <w:t>Service context</w:t>
            </w:r>
          </w:p>
          <w:p>
            <w:pPr>
              <w:pStyle w:val="Body"/>
              <w:bidi w:val="0"/>
              <w:spacing w:before="60" w:after="60" w:line="240" w:lineRule="auto"/>
              <w:ind w:left="0" w:right="0" w:firstLine="0"/>
              <w:jc w:val="left"/>
              <w:rPr>
                <w:rtl w:val="0"/>
              </w:rPr>
            </w:pPr>
            <w:r>
              <w:rPr>
                <w:sz w:val="20"/>
                <w:szCs w:val="20"/>
                <w:shd w:val="nil" w:color="auto" w:fill="auto"/>
                <w:rtl w:val="0"/>
                <w:lang w:val="en-US"/>
              </w:rPr>
              <w:t>In some cases, serving a specific context becomes central to the community</w:t>
            </w:r>
            <w:r>
              <w:rPr>
                <w:sz w:val="20"/>
                <w:szCs w:val="20"/>
                <w:shd w:val="nil" w:color="auto" w:fill="auto"/>
                <w:rtl w:val="0"/>
                <w:lang w:val="en-US"/>
              </w:rPr>
              <w:t>’</w:t>
            </w:r>
            <w:r>
              <w:rPr>
                <w:sz w:val="20"/>
                <w:szCs w:val="20"/>
                <w:shd w:val="nil" w:color="auto" w:fill="auto"/>
                <w:rtl w:val="0"/>
                <w:lang w:val="en-US"/>
              </w:rPr>
              <w:t>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type="dxa" w:w="20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Organization as context</w:t>
            </w:r>
          </w:p>
          <w:p>
            <w:pPr>
              <w:pStyle w:val="Body"/>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Cross-organizational</w:t>
            </w:r>
          </w:p>
          <w:p>
            <w:pPr>
              <w:pStyle w:val="Body"/>
              <w:bidi w:val="0"/>
              <w:spacing w:before="60" w:after="60" w:line="240" w:lineRule="auto"/>
              <w:ind w:left="0" w:right="0" w:firstLine="0"/>
              <w:jc w:val="left"/>
              <w:rPr>
                <w:shd w:val="nil" w:color="auto" w:fill="auto"/>
                <w:rtl w:val="0"/>
              </w:rPr>
            </w:pPr>
            <w:r>
              <w:rPr>
                <w:rFonts w:ascii="MS Gothic" w:cs="MS Gothic" w:hAnsi="MS Gothic" w:eastAsia="MS Gothic"/>
                <w:shd w:val="nil" w:color="auto" w:fill="auto"/>
                <w:rtl w:val="0"/>
                <w:lang w:val="en-US"/>
              </w:rPr>
              <w:t>☐</w:t>
            </w:r>
            <w:r>
              <w:rPr>
                <w:shd w:val="nil" w:color="auto" w:fill="auto"/>
                <w:rtl w:val="0"/>
                <w:lang w:val="en-US"/>
              </w:rPr>
              <w:t xml:space="preserve"> Other related communities</w:t>
            </w:r>
          </w:p>
          <w:p>
            <w:pPr>
              <w:pStyle w:val="Body"/>
              <w:bidi w:val="0"/>
              <w:spacing w:before="60" w:after="60" w:line="240" w:lineRule="auto"/>
              <w:ind w:left="0" w:right="0" w:firstLine="0"/>
              <w:jc w:val="left"/>
              <w:rPr>
                <w:rtl w:val="0"/>
              </w:rPr>
            </w:pPr>
            <w:r>
              <w:rPr>
                <w:rFonts w:ascii="MS Gothic" w:cs="MS Gothic" w:hAnsi="MS Gothic" w:eastAsia="MS Gothic"/>
                <w:shd w:val="nil" w:color="auto" w:fill="auto"/>
                <w:rtl w:val="0"/>
                <w:lang w:val="en-US"/>
              </w:rPr>
              <w:t>☐</w:t>
            </w:r>
            <w:r>
              <w:rPr>
                <w:shd w:val="nil" w:color="auto" w:fill="auto"/>
                <w:rtl w:val="0"/>
                <w:lang w:val="en-US"/>
              </w:rPr>
              <w:t xml:space="preserve"> Public mission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8"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top"/>
          </w:tcPr>
          <w:p>
            <w:pPr>
              <w:pStyle w:val="Body"/>
              <w:spacing w:before="60" w:after="60" w:line="240" w:lineRule="auto"/>
            </w:pPr>
            <w:r>
              <w:rPr>
                <w:b w:val="1"/>
                <w:bCs w:val="1"/>
                <w:sz w:val="28"/>
                <w:szCs w:val="28"/>
                <w:shd w:val="nil" w:color="auto" w:fill="auto"/>
                <w:rtl w:val="0"/>
                <w:lang w:val="en-US"/>
              </w:rPr>
              <w:t>Scratchpad (other interesting insights, questions/answers, etc.)</w:t>
            </w:r>
          </w:p>
        </w:tc>
      </w:tr>
      <w:tr>
        <w:tblPrEx>
          <w:shd w:val="clear" w:color="auto" w:fill="cdd4e9"/>
        </w:tblPrEx>
        <w:trPr>
          <w:trHeight w:val="1441" w:hRule="atLeast"/>
        </w:trPr>
        <w:tc>
          <w:tcPr>
            <w:tcW w:type="dxa" w:w="10885"/>
            <w:gridSpan w:val="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shd w:val="nil" w:color="auto" w:fill="auto"/>
                <w:lang w:val="en-US"/>
              </w:rPr>
            </w:pPr>
          </w:p>
          <w:p>
            <w:pPr>
              <w:pStyle w:val="Body"/>
              <w:spacing w:before="60" w:after="60" w:line="240" w:lineRule="auto"/>
              <w:rPr>
                <w:shd w:val="nil" w:color="auto" w:fill="auto"/>
                <w:lang w:val="en-US"/>
              </w:rPr>
            </w:pPr>
          </w:p>
          <w:p>
            <w:pPr>
              <w:pStyle w:val="Body"/>
              <w:spacing w:before="60" w:after="60" w:line="240" w:lineRule="auto"/>
              <w:rPr>
                <w:shd w:val="nil" w:color="auto" w:fill="auto"/>
                <w:lang w:val="en-US"/>
              </w:rPr>
            </w:pPr>
          </w:p>
          <w:p>
            <w:pPr>
              <w:pStyle w:val="Body"/>
              <w:spacing w:before="60" w:after="60" w:line="240" w:lineRule="auto"/>
            </w:pPr>
            <w:r>
              <w:rPr>
                <w:shd w:val="nil" w:color="auto" w:fill="auto"/>
                <w:lang w:val="en-US"/>
              </w:rPr>
            </w:r>
          </w:p>
        </w:tc>
      </w:tr>
    </w:tbl>
    <w:p>
      <w:pPr>
        <w:pStyle w:val="Body"/>
        <w:widowControl w:val="0"/>
        <w:spacing w:after="0" w:line="240" w:lineRule="auto"/>
      </w:pPr>
      <w:r>
        <w:rPr>
          <w:lang w:val="en-US"/>
        </w:rPr>
      </w:r>
    </w:p>
    <w:sectPr>
      <w:headerReference w:type="default" r:id="rId4"/>
      <w:footerReference w:type="default" r:id="rId5"/>
      <w:pgSz w:w="12240" w:h="15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xmlns:a="http://schemas.openxmlformats.org/drawingml/2006/main">
        <wp:inline distT="0" distB="0" distL="0" distR="0">
          <wp:extent cx="5395865" cy="63201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395865" cy="632016"/>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