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28" w:rsidRPr="00B16128" w:rsidRDefault="00B16128" w:rsidP="00B16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6128">
        <w:rPr>
          <w:rFonts w:ascii="Times New Roman" w:eastAsia="Times New Roman" w:hAnsi="Times New Roman" w:cs="Times New Roman"/>
          <w:b/>
          <w:bCs/>
          <w:sz w:val="36"/>
          <w:szCs w:val="36"/>
        </w:rPr>
        <w:t>Entry Requirements</w:t>
      </w:r>
    </w:p>
    <w:p w:rsidR="00B16128" w:rsidRPr="00B16128" w:rsidRDefault="00B16128" w:rsidP="00B16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128">
        <w:rPr>
          <w:rFonts w:ascii="Times New Roman" w:eastAsia="Times New Roman" w:hAnsi="Times New Roman" w:cs="Times New Roman"/>
          <w:b/>
          <w:bCs/>
          <w:sz w:val="27"/>
          <w:szCs w:val="27"/>
        </w:rPr>
        <w:t>Qualifications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i/>
          <w:iCs/>
          <w:sz w:val="24"/>
          <w:szCs w:val="24"/>
        </w:rPr>
        <w:t>The information below is provided as a guide only and does not guarantee entry to the University of Aberdeen.</w:t>
      </w:r>
    </w:p>
    <w:p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2:1 (upper second class)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UK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16128">
        <w:rPr>
          <w:rFonts w:ascii="Times New Roman" w:eastAsia="Times New Roman" w:hAnsi="Times New Roman" w:cs="Times New Roman"/>
          <w:sz w:val="24"/>
          <w:szCs w:val="24"/>
        </w:rPr>
        <w:t>degree,</w:t>
      </w:r>
      <w:proofErr w:type="gram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degree from a non-UK institution which is judged by the University to be of equivalent worth in any branch of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Applied Mathematics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Those with a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 2:2 </w:t>
      </w:r>
      <w:proofErr w:type="spellStart"/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Honours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degree in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Applied Mathematics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may also be considered if they can demonstrate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2+ years of relevant experience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Students with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Geology, Physics 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Chemistry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degrees may be considered if they have a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2:1 degree AND 2+ years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relevant work experience.</w:t>
      </w:r>
    </w:p>
    <w:p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Key subjects you must have covered</w:t>
      </w:r>
      <w:r w:rsidRPr="00B16128">
        <w:rPr>
          <w:rFonts w:ascii="Times New Roman" w:eastAsia="Times New Roman" w:hAnsi="Times New Roman" w:cs="Times New Roman"/>
          <w:sz w:val="24"/>
          <w:szCs w:val="24"/>
        </w:rPr>
        <w:t>: Mathematics and Physics.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Technology Approval Scheme (ATAS) certificate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Please note that international applicants </w:t>
      </w: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this </w:t>
      </w:r>
      <w:proofErr w:type="spellStart"/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require an </w:t>
      </w:r>
      <w:hyperlink r:id="rId5" w:tgtFrame="_self" w:history="1">
        <w:r w:rsidRPr="00B161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Academic Technology Approval Scheme (ATAS) certificate.</w:t>
        </w:r>
      </w:hyperlink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The ATAS certificate must be obtained before applying for a Tier 4 visa. You can submit an ATAS application up to 6 months before the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start date, even if the offer is still conditional.</w:t>
      </w:r>
    </w:p>
    <w:p w:rsidR="00B16128" w:rsidRPr="00B16128" w:rsidRDefault="00B16128" w:rsidP="00B161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61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Entry requirements for applicants from 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Nigeria</w:t>
      </w:r>
    </w:p>
    <w:p w:rsidR="00B16128" w:rsidRPr="00B16128" w:rsidRDefault="000C1960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75pt;height:18pt" o:ole="">
            <v:imagedata r:id="rId6" o:title=""/>
          </v:shape>
          <w:control r:id="rId7" w:name="DefaultOcxName" w:shapeid="_x0000_i1030"/>
        </w:object>
      </w:r>
    </w:p>
    <w:p w:rsidR="00B16128" w:rsidRPr="00B16128" w:rsidRDefault="00B16128" w:rsidP="00B161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61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A score of 60% or 3.0/4 or 3.5/5 or 5.0/7 from a well ranked institution is considered comparable to a UK 2.1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A score of 50% or 2.5/4 or 2.99/5 or 4.0/7 from a well ranked institution is considered comparable to a UK 2.2</w:t>
      </w:r>
    </w:p>
    <w:p w:rsidR="00B16128" w:rsidRPr="00B16128" w:rsidRDefault="00B16128" w:rsidP="00B16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128">
        <w:rPr>
          <w:rFonts w:ascii="Times New Roman" w:eastAsia="Times New Roman" w:hAnsi="Times New Roman" w:cs="Times New Roman"/>
          <w:b/>
          <w:bCs/>
          <w:sz w:val="27"/>
          <w:szCs w:val="27"/>
        </w:rPr>
        <w:t>English Language Requirements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To study for a Postgraduate Taught degree at the University of Aberdeen it is essential that you can speak, understand, read, and write English fluently. The minimum requirements for this degree are as follows: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IELTS Academic: 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OVERALL - 6.5 with: Listening - 5.5; Reading - 5.5; Speaking - 5.5; Writing - 6.0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TOEFL </w:t>
      </w:r>
      <w:proofErr w:type="spellStart"/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iBT</w:t>
      </w:r>
      <w:proofErr w:type="spellEnd"/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lastRenderedPageBreak/>
        <w:t>OVERALL - 90 with: Listening - 17; Reading - 18; Speaking - 20; Writing - 21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PTE Academic: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OVERALL - 62 with: Listening - 51; Reading - 51; Speaking - 51; Writing - 54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b/>
          <w:bCs/>
          <w:sz w:val="24"/>
          <w:szCs w:val="24"/>
        </w:rPr>
        <w:t>Cambridge English Advanced &amp; Proficiency: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>OVERALL - 176 with: Listening - 162; Reading - 162; Speaking - 162; Writing - 169</w:t>
      </w:r>
    </w:p>
    <w:p w:rsidR="00B16128" w:rsidRPr="00B16128" w:rsidRDefault="000C1960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16128" w:rsidRPr="00B161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 about specific English Language requirements here</w:t>
        </w:r>
      </w:hyperlink>
      <w:r w:rsidR="00B16128" w:rsidRPr="00B161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128" w:rsidRPr="00B16128" w:rsidRDefault="00B16128" w:rsidP="00B16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128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Requirements</w:t>
      </w:r>
    </w:p>
    <w:p w:rsidR="00B16128" w:rsidRPr="00B16128" w:rsidRDefault="00B16128" w:rsidP="00B1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supply the following documentation with your application as proof you meet the entry requirements of this degree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. If you have not yet completed your current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of study, then you can still apply and you can provide your Degree Certificate at a later date.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CV </w:t>
      </w:r>
    </w:p>
    <w:p w:rsidR="00B16128" w:rsidRPr="00B16128" w:rsidRDefault="00B16128" w:rsidP="00B161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612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up-to-date CV/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Resumé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Degree Certificate </w:t>
      </w:r>
    </w:p>
    <w:p w:rsidR="00B16128" w:rsidRPr="00B16128" w:rsidRDefault="00B16128" w:rsidP="00B161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61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degree certificate showing your qualifications 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Degree Transcript </w:t>
      </w:r>
    </w:p>
    <w:p w:rsidR="00B16128" w:rsidRPr="00B16128" w:rsidRDefault="00B16128" w:rsidP="00B161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61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full transcript showing all the subjects you studied and the marks you have achieved in your degree(s) (original &amp; official English translation) </w:t>
      </w:r>
    </w:p>
    <w:p w:rsidR="00B16128" w:rsidRPr="00B16128" w:rsidRDefault="00B16128" w:rsidP="00B1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Personal Statement </w:t>
      </w:r>
    </w:p>
    <w:p w:rsidR="00B16128" w:rsidRPr="00B16128" w:rsidRDefault="00B16128" w:rsidP="00B161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61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detailed personal statement explaining your motivation for this particular </w:t>
      </w:r>
      <w:proofErr w:type="spellStart"/>
      <w:r w:rsidRPr="00B1612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1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128" w:rsidRPr="00B16128" w:rsidRDefault="00B16128" w:rsidP="00B16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128">
        <w:rPr>
          <w:rFonts w:ascii="Times New Roman" w:eastAsia="Times New Roman" w:hAnsi="Times New Roman" w:cs="Times New Roman"/>
          <w:b/>
          <w:bCs/>
          <w:sz w:val="27"/>
          <w:szCs w:val="27"/>
        </w:rPr>
        <w:t>International Applicants</w:t>
      </w:r>
    </w:p>
    <w:p w:rsidR="00B16128" w:rsidRPr="00B16128" w:rsidRDefault="000C1960" w:rsidP="00B16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16128" w:rsidRPr="00B161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 about visa and immigration requirements</w:t>
        </w:r>
      </w:hyperlink>
      <w:r w:rsidR="00B16128" w:rsidRPr="00B1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128" w:rsidRPr="00B16128" w:rsidRDefault="000C1960" w:rsidP="00B16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B16128" w:rsidRPr="00B161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 regarding country-specific entry requirements</w:t>
        </w:r>
      </w:hyperlink>
    </w:p>
    <w:p w:rsidR="009E24C4" w:rsidRDefault="009E24C4"/>
    <w:p w:rsidR="00B16128" w:rsidRDefault="00B16128" w:rsidP="00B16128">
      <w:pPr>
        <w:pStyle w:val="Heading2"/>
      </w:pPr>
      <w:r>
        <w:t>Fees and Funding</w:t>
      </w:r>
    </w:p>
    <w:p w:rsidR="00B16128" w:rsidRDefault="00B16128" w:rsidP="00B16128">
      <w:pPr>
        <w:pStyle w:val="NormalWeb"/>
      </w:pPr>
      <w:r>
        <w:t>You will be classified as one of the fee categories below.</w:t>
      </w:r>
    </w:p>
    <w:p w:rsidR="00B16128" w:rsidRDefault="000C1960" w:rsidP="00B16128">
      <w:hyperlink r:id="rId11" w:anchor="fee_data_1" w:history="1">
        <w:proofErr w:type="spellStart"/>
        <w:r w:rsidR="00B16128">
          <w:rPr>
            <w:rStyle w:val="Hyperlink"/>
          </w:rPr>
          <w:t>MSc</w:t>
        </w:r>
        <w:proofErr w:type="spellEnd"/>
        <w:r w:rsidR="00B16128">
          <w:rPr>
            <w:rStyle w:val="Hyperlink"/>
          </w:rPr>
          <w:t xml:space="preserve"> </w:t>
        </w:r>
        <w:r w:rsidR="00B16128">
          <w:rPr>
            <w:rStyle w:val="duration"/>
          </w:rPr>
          <w:t>12 months or 24 months</w:t>
        </w:r>
        <w:r w:rsidR="00B16128">
          <w:rPr>
            <w:rStyle w:val="Hyperlink"/>
          </w:rPr>
          <w:t xml:space="preserve"> </w:t>
        </w:r>
        <w:r w:rsidR="00B16128">
          <w:rPr>
            <w:rStyle w:val="learningmode"/>
            <w:color w:val="0000FF"/>
            <w:u w:val="single"/>
          </w:rPr>
          <w:t xml:space="preserve">On Campus </w:t>
        </w:r>
        <w:proofErr w:type="gramStart"/>
        <w:r w:rsidR="00B16128">
          <w:rPr>
            <w:rStyle w:val="learningmode"/>
            <w:color w:val="0000FF"/>
            <w:u w:val="single"/>
          </w:rPr>
          <w:t>Learning</w:t>
        </w:r>
        <w:r w:rsidR="00B16128">
          <w:rPr>
            <w:rStyle w:val="Hyperlink"/>
          </w:rPr>
          <w:t xml:space="preserve">  </w:t>
        </w:r>
        <w:r w:rsidR="00B16128">
          <w:rPr>
            <w:rStyle w:val="studymode"/>
            <w:color w:val="0000FF"/>
            <w:u w:val="single"/>
          </w:rPr>
          <w:t>Full</w:t>
        </w:r>
        <w:proofErr w:type="gramEnd"/>
        <w:r w:rsidR="00B16128">
          <w:rPr>
            <w:rStyle w:val="studymode"/>
            <w:color w:val="0000FF"/>
            <w:u w:val="single"/>
          </w:rPr>
          <w:t xml:space="preserve"> Time or Part Time</w:t>
        </w:r>
        <w:r w:rsidR="00B16128">
          <w:rPr>
            <w:rStyle w:val="Hyperlink"/>
          </w:rPr>
          <w:t xml:space="preserve"> </w:t>
        </w:r>
        <w:r w:rsidR="00B16128">
          <w:rPr>
            <w:rStyle w:val="startmonth"/>
            <w:color w:val="0000FF"/>
            <w:u w:val="single"/>
          </w:rPr>
          <w:t>September</w:t>
        </w:r>
        <w:r w:rsidR="00B16128">
          <w:rPr>
            <w:rStyle w:val="Hyperlink"/>
          </w:rPr>
          <w:t xml:space="preserve"> </w:t>
        </w:r>
      </w:hyperlink>
    </w:p>
    <w:p w:rsidR="00B16128" w:rsidRDefault="00B16128" w:rsidP="00B16128">
      <w:pPr>
        <w:pStyle w:val="Heading4"/>
        <w:ind w:left="720"/>
      </w:pPr>
      <w:r>
        <w:t>Fee Information</w:t>
      </w: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3"/>
        <w:gridCol w:w="1667"/>
      </w:tblGrid>
      <w:tr w:rsidR="00B16128" w:rsidTr="00B1612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128" w:rsidRDefault="00B16128">
            <w:pPr>
              <w:jc w:val="center"/>
              <w:rPr>
                <w:sz w:val="24"/>
                <w:szCs w:val="24"/>
              </w:rPr>
            </w:pPr>
            <w:r>
              <w:t>Fee information</w:t>
            </w:r>
          </w:p>
        </w:tc>
      </w:tr>
      <w:tr w:rsidR="00B16128" w:rsidTr="00B16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6128" w:rsidRDefault="00B161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Fee category</w:t>
            </w:r>
          </w:p>
        </w:tc>
        <w:tc>
          <w:tcPr>
            <w:tcW w:w="0" w:type="auto"/>
            <w:vAlign w:val="center"/>
            <w:hideMark/>
          </w:tcPr>
          <w:p w:rsidR="00B16128" w:rsidRDefault="00B161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Cost</w:t>
            </w:r>
          </w:p>
        </w:tc>
      </w:tr>
      <w:tr w:rsidR="00B16128" w:rsidTr="00B16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International Students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£21,000 </w:t>
            </w:r>
          </w:p>
        </w:tc>
      </w:tr>
      <w:tr w:rsidR="00B16128" w:rsidTr="00B16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Tuition Fees for 2019/20 Academic Year </w:t>
            </w:r>
          </w:p>
        </w:tc>
        <w:tc>
          <w:tcPr>
            <w:tcW w:w="0" w:type="auto"/>
            <w:vMerge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</w:p>
        </w:tc>
      </w:tr>
      <w:tr w:rsidR="00B16128" w:rsidTr="00B16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Home / EU / RUK Students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£5,800 </w:t>
            </w:r>
          </w:p>
        </w:tc>
      </w:tr>
      <w:tr w:rsidR="00B16128" w:rsidTr="00B16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  <w:r>
              <w:t xml:space="preserve">Tuition Fees for 2019/20 Academic Year </w:t>
            </w:r>
          </w:p>
        </w:tc>
        <w:tc>
          <w:tcPr>
            <w:tcW w:w="0" w:type="auto"/>
            <w:vMerge/>
            <w:vAlign w:val="center"/>
            <w:hideMark/>
          </w:tcPr>
          <w:p w:rsidR="00B16128" w:rsidRDefault="00B16128">
            <w:pPr>
              <w:rPr>
                <w:sz w:val="24"/>
                <w:szCs w:val="24"/>
              </w:rPr>
            </w:pPr>
          </w:p>
        </w:tc>
      </w:tr>
    </w:tbl>
    <w:p w:rsidR="00B16128" w:rsidRDefault="00B16128"/>
    <w:p w:rsidR="00343751" w:rsidRDefault="00343751"/>
    <w:p w:rsidR="00343751" w:rsidRPr="00343751" w:rsidRDefault="000C1960" w:rsidP="00343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3751" w:rsidRPr="00343751" w:rsidRDefault="00343751" w:rsidP="003437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751">
        <w:rPr>
          <w:rFonts w:ascii="Times New Roman" w:eastAsia="Times New Roman" w:hAnsi="Times New Roman" w:cs="Times New Roman"/>
          <w:b/>
          <w:bCs/>
          <w:sz w:val="36"/>
          <w:szCs w:val="36"/>
        </w:rPr>
        <w:t>Best universities in the UK 2019</w:t>
      </w:r>
    </w:p>
    <w:p w:rsidR="00343751" w:rsidRPr="00343751" w:rsidRDefault="00343751" w:rsidP="00343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51">
        <w:rPr>
          <w:rFonts w:ascii="Times New Roman" w:eastAsia="Times New Roman" w:hAnsi="Times New Roman" w:cs="Times New Roman"/>
          <w:sz w:val="24"/>
          <w:szCs w:val="24"/>
        </w:rPr>
        <w:t>Click each institution to view its full </w:t>
      </w:r>
      <w:hyperlink r:id="rId12" w:history="1">
        <w:r w:rsidRPr="003437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 University Rankings 2019</w:t>
        </w:r>
      </w:hyperlink>
      <w:r w:rsidRPr="00343751">
        <w:rPr>
          <w:rFonts w:ascii="Times New Roman" w:eastAsia="Times New Roman" w:hAnsi="Times New Roman" w:cs="Times New Roman"/>
          <w:sz w:val="24"/>
          <w:szCs w:val="24"/>
        </w:rPr>
        <w:t> results </w:t>
      </w:r>
    </w:p>
    <w:tbl>
      <w:tblPr>
        <w:tblW w:w="10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8"/>
        <w:gridCol w:w="1703"/>
        <w:gridCol w:w="4936"/>
        <w:gridCol w:w="2198"/>
      </w:tblGrid>
      <w:tr w:rsidR="00343751" w:rsidRPr="00343751" w:rsidTr="00343751">
        <w:trPr>
          <w:tblCellSpacing w:w="15" w:type="dxa"/>
        </w:trPr>
        <w:tc>
          <w:tcPr>
            <w:tcW w:w="1740" w:type="dxa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UK Rank 2019</w:t>
            </w:r>
          </w:p>
        </w:tc>
        <w:tc>
          <w:tcPr>
            <w:tcW w:w="1710" w:type="dxa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WUR Rank 2019</w:t>
            </w:r>
          </w:p>
        </w:tc>
        <w:tc>
          <w:tcPr>
            <w:tcW w:w="5040" w:type="dxa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085" w:type="dxa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City/Town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Oxford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Cambridge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Cambridge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9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Imperial College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14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UCL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26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London School of Economics and Political Science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 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29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Edinburgh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Edinburgh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38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King’s College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57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Manchester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Manchester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78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Bristol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Bristol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=79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Warwick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Warwick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=93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Glasgow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Glasgow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106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Sheffield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Sheffield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=114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Durham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Durham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=116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Birmingham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118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Southampton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Southampton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119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York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York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130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Queen Mary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141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Exeter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Exeter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=146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Lancaster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Lancaster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=149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Nottingham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=153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Leeds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Leeds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158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Aberdeen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Aberdeen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=161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Sussex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Sussex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165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St Andrews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St Andrews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=167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Leicester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Leicester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=171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Newcastle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Newcastle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=181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Liverpool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=187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Cardiff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Cardiff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=190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East Anglia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Norwich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201–250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Bath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Bath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201–250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Dundee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Dundee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201–250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Queen’s University Belfast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Belfast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201–250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Reading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Brighton and Sussex Medical School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Brighton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Essex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Colchester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Royal Holloway,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 George’s,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Surrey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Guildford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=34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251–300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Swansea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Swansea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301–350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Anglia Ruskin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East Anglia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301–350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Birkbeck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,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=40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301–350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Heriot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-Watt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Edinburgh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351–400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Aberystwyth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Aberystywth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351–400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Aston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351–400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City,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351–400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Kent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Kent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351–400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Stirling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Stirling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Bangor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Bangor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Brunel University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Loughborough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Loughborough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Middlesex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Northumbria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Newcastle Upon Tyne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Plymouth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Plymouth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Portsmouth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Portsmouth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Royal Veterinary College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Soas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, University of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Strathclyde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Strathclyde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=48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401–500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the West of Scotland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Paisley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Bournemouth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Bournemouth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Hull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Hull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Keele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Keele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Liverpool John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Moores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Open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UK-wide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=59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501–600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Oxford Brookes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Bradford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Bradford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Brighton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Brighton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Coventry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Coventry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 Montfort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Leicester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Edinburgh Napier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Edinburgh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Glasgow Caledonian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Glasgow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Greenwich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Hertfordshire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Hatfield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Huddersfield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Huddersfield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Kingston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Lincoln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Lincoln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Manchester Metropolitan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Manchester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Nottingham Trent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Salford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Salford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Ulster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Ulster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the West of England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Bristol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Westminster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601–800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Wolverhampton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Wolverhampton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Bedfordshire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Luton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Central Lancashire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Preston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Derby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Derby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East London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 Hill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Ormskirk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Leeds Beckett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Leeds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Robert Gordon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Aberdeen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University of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Roehampton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Sheffield </w:t>
              </w:r>
              <w:proofErr w:type="spellStart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Hallam</w:t>
              </w:r>
              <w:proofErr w:type="spellEnd"/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Sheffield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South Wales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Pontypridd</w:t>
            </w:r>
            <w:proofErr w:type="spellEnd"/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Staffordshire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Stoke-on-Trent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=83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801–1000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Teesside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Teesside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=95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1001+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Birmingham City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=95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1001+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Canterbury Christ Church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Canterbury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=95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1001+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University of Chester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Chester</w:t>
            </w:r>
          </w:p>
        </w:tc>
      </w:tr>
      <w:tr w:rsidR="00343751" w:rsidRPr="00343751" w:rsidTr="00343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=95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 1001+ </w:t>
            </w:r>
          </w:p>
        </w:tc>
        <w:tc>
          <w:tcPr>
            <w:tcW w:w="0" w:type="auto"/>
            <w:vAlign w:val="center"/>
            <w:hideMark/>
          </w:tcPr>
          <w:p w:rsidR="00343751" w:rsidRPr="00343751" w:rsidRDefault="000C1960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343751" w:rsidRPr="003437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London South Bank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43751" w:rsidRPr="00343751" w:rsidRDefault="00343751" w:rsidP="0034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751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</w:tbl>
    <w:p w:rsidR="00343751" w:rsidRDefault="00343751"/>
    <w:sectPr w:rsidR="00343751" w:rsidSect="009E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B581F"/>
    <w:multiLevelType w:val="multilevel"/>
    <w:tmpl w:val="B66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BA0D92"/>
    <w:multiLevelType w:val="multilevel"/>
    <w:tmpl w:val="F15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128"/>
    <w:rsid w:val="000C1960"/>
    <w:rsid w:val="00343751"/>
    <w:rsid w:val="009E24C4"/>
    <w:rsid w:val="00B16128"/>
    <w:rsid w:val="00EA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C4"/>
  </w:style>
  <w:style w:type="paragraph" w:styleId="Heading2">
    <w:name w:val="heading 2"/>
    <w:basedOn w:val="Normal"/>
    <w:link w:val="Heading2Char"/>
    <w:uiPriority w:val="9"/>
    <w:qFormat/>
    <w:rsid w:val="00B16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6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1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1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6128"/>
    <w:rPr>
      <w:i/>
      <w:iCs/>
    </w:rPr>
  </w:style>
  <w:style w:type="character" w:styleId="Strong">
    <w:name w:val="Strong"/>
    <w:basedOn w:val="DefaultParagraphFont"/>
    <w:uiPriority w:val="22"/>
    <w:qFormat/>
    <w:rsid w:val="00B161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612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61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6128"/>
    <w:rPr>
      <w:rFonts w:ascii="Arial" w:eastAsia="Times New Roman" w:hAnsi="Arial" w:cs="Arial"/>
      <w:vanish/>
      <w:sz w:val="16"/>
      <w:szCs w:val="16"/>
    </w:rPr>
  </w:style>
  <w:style w:type="character" w:customStyle="1" w:styleId="countryselectname">
    <w:name w:val="country_select_name"/>
    <w:basedOn w:val="DefaultParagraphFont"/>
    <w:rsid w:val="00B1612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61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6128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1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uration">
    <w:name w:val="duration"/>
    <w:basedOn w:val="DefaultParagraphFont"/>
    <w:rsid w:val="00B16128"/>
  </w:style>
  <w:style w:type="character" w:customStyle="1" w:styleId="learningmode">
    <w:name w:val="learning_mode"/>
    <w:basedOn w:val="DefaultParagraphFont"/>
    <w:rsid w:val="00B16128"/>
  </w:style>
  <w:style w:type="character" w:customStyle="1" w:styleId="studymode">
    <w:name w:val="study_mode"/>
    <w:basedOn w:val="DefaultParagraphFont"/>
    <w:rsid w:val="00B16128"/>
  </w:style>
  <w:style w:type="character" w:customStyle="1" w:styleId="startmonth">
    <w:name w:val="start_month"/>
    <w:basedOn w:val="DefaultParagraphFont"/>
    <w:rsid w:val="00B16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meshighereducation.com/world-university-rankings/university-birmingham" TargetMode="External"/><Relationship Id="rId21" Type="http://schemas.openxmlformats.org/officeDocument/2006/relationships/hyperlink" Target="https://www.timeshighereducation.com/world-university-rankings/university-bristol" TargetMode="External"/><Relationship Id="rId42" Type="http://schemas.openxmlformats.org/officeDocument/2006/relationships/hyperlink" Target="https://www.timeshighereducation.com/world-university-rankings/university-bath" TargetMode="External"/><Relationship Id="rId47" Type="http://schemas.openxmlformats.org/officeDocument/2006/relationships/hyperlink" Target="https://www.timeshighereducation.com/world-university-rankings/university-essex" TargetMode="External"/><Relationship Id="rId63" Type="http://schemas.openxmlformats.org/officeDocument/2006/relationships/hyperlink" Target="https://www.timeshighereducation.com/world-university-rankings/middlesex-university" TargetMode="External"/><Relationship Id="rId68" Type="http://schemas.openxmlformats.org/officeDocument/2006/relationships/hyperlink" Target="https://www.timeshighereducation.com/world-university-rankings/soas-university-london" TargetMode="External"/><Relationship Id="rId84" Type="http://schemas.openxmlformats.org/officeDocument/2006/relationships/hyperlink" Target="https://www.timeshighereducation.com/world-university-rankings/university-hertfordshire" TargetMode="External"/><Relationship Id="rId89" Type="http://schemas.openxmlformats.org/officeDocument/2006/relationships/hyperlink" Target="https://www.timeshighereducation.com/world-university-rankings/nottingham-trent-university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imeshighereducation.com/world-university-rankings/ucl" TargetMode="External"/><Relationship Id="rId29" Type="http://schemas.openxmlformats.org/officeDocument/2006/relationships/hyperlink" Target="https://www.timeshighereducation.com/world-university-rankings/queen-mary-university-london" TargetMode="External"/><Relationship Id="rId107" Type="http://schemas.openxmlformats.org/officeDocument/2006/relationships/hyperlink" Target="https://www.timeshighereducation.com/world-university-rankings/birmingham-city-university" TargetMode="External"/><Relationship Id="rId11" Type="http://schemas.openxmlformats.org/officeDocument/2006/relationships/hyperlink" Target="https://www.abdn.ac.uk/study/postgraduate-taught/degree-programmes/222/petroleum-engineering/" TargetMode="External"/><Relationship Id="rId24" Type="http://schemas.openxmlformats.org/officeDocument/2006/relationships/hyperlink" Target="https://www.timeshighereducation.com/world-university-rankings/university-sheffield" TargetMode="External"/><Relationship Id="rId32" Type="http://schemas.openxmlformats.org/officeDocument/2006/relationships/hyperlink" Target="https://www.timeshighereducation.com/world-university-rankings/university-nottingham" TargetMode="External"/><Relationship Id="rId37" Type="http://schemas.openxmlformats.org/officeDocument/2006/relationships/hyperlink" Target="https://www.timeshighereducation.com/world-university-rankings/university-leicester" TargetMode="External"/><Relationship Id="rId40" Type="http://schemas.openxmlformats.org/officeDocument/2006/relationships/hyperlink" Target="https://www.timeshighereducation.com/world-university-rankings/cardiff-university" TargetMode="External"/><Relationship Id="rId45" Type="http://schemas.openxmlformats.org/officeDocument/2006/relationships/hyperlink" Target="https://www.timeshighereducation.com/world-university-rankings/university-reading" TargetMode="External"/><Relationship Id="rId53" Type="http://schemas.openxmlformats.org/officeDocument/2006/relationships/hyperlink" Target="https://www.timeshighereducation.com/world-university-rankings/birkbeck-university-london" TargetMode="External"/><Relationship Id="rId58" Type="http://schemas.openxmlformats.org/officeDocument/2006/relationships/hyperlink" Target="https://www.timeshighereducation.com/world-university-rankings/university-kent" TargetMode="External"/><Relationship Id="rId66" Type="http://schemas.openxmlformats.org/officeDocument/2006/relationships/hyperlink" Target="https://www.timeshighereducation.com/world-university-rankings/university-portsmouth" TargetMode="External"/><Relationship Id="rId74" Type="http://schemas.openxmlformats.org/officeDocument/2006/relationships/hyperlink" Target="https://www.timeshighereducation.com/world-university-rankings/liverpool-john-moores-university" TargetMode="External"/><Relationship Id="rId79" Type="http://schemas.openxmlformats.org/officeDocument/2006/relationships/hyperlink" Target="https://www.timeshighereducation.com/world-university-rankings/coventry-university" TargetMode="External"/><Relationship Id="rId87" Type="http://schemas.openxmlformats.org/officeDocument/2006/relationships/hyperlink" Target="https://www.timeshighereducation.com/world-university-rankings/university-lincoln" TargetMode="External"/><Relationship Id="rId102" Type="http://schemas.openxmlformats.org/officeDocument/2006/relationships/hyperlink" Target="https://www.timeshighereducation.com/world-university-rankings/university-roehampton" TargetMode="External"/><Relationship Id="rId110" Type="http://schemas.openxmlformats.org/officeDocument/2006/relationships/hyperlink" Target="https://www.timeshighereducation.com/world-university-rankings/london-south-bank-university" TargetMode="External"/><Relationship Id="rId5" Type="http://schemas.openxmlformats.org/officeDocument/2006/relationships/hyperlink" Target="https://www.abdn.ac.uk/study/postgraduate-taught/academic-technology-approval-scheme-968.php" TargetMode="External"/><Relationship Id="rId61" Type="http://schemas.openxmlformats.org/officeDocument/2006/relationships/hyperlink" Target="https://www.timeshighereducation.com/world-university-rankings/brunel-university-london" TargetMode="External"/><Relationship Id="rId82" Type="http://schemas.openxmlformats.org/officeDocument/2006/relationships/hyperlink" Target="https://www.timeshighereducation.com/world-university-rankings/glasgow-caledonian-university" TargetMode="External"/><Relationship Id="rId90" Type="http://schemas.openxmlformats.org/officeDocument/2006/relationships/hyperlink" Target="https://www.timeshighereducation.com/world-university-rankings/university-salford" TargetMode="External"/><Relationship Id="rId95" Type="http://schemas.openxmlformats.org/officeDocument/2006/relationships/hyperlink" Target="https://www.timeshighereducation.com/world-university-rankings/university-bedfordshire" TargetMode="External"/><Relationship Id="rId19" Type="http://schemas.openxmlformats.org/officeDocument/2006/relationships/hyperlink" Target="https://www.timeshighereducation.com/world-university-rankings/kings-college-london" TargetMode="External"/><Relationship Id="rId14" Type="http://schemas.openxmlformats.org/officeDocument/2006/relationships/hyperlink" Target="https://www.timeshighereducation.com/world-university-rankings/university-cambridge" TargetMode="External"/><Relationship Id="rId22" Type="http://schemas.openxmlformats.org/officeDocument/2006/relationships/hyperlink" Target="https://www.timeshighereducation.com/world-university-rankings/university-warwick" TargetMode="External"/><Relationship Id="rId27" Type="http://schemas.openxmlformats.org/officeDocument/2006/relationships/hyperlink" Target="https://www.timeshighereducation.com/world-university-rankings/university-southampton" TargetMode="External"/><Relationship Id="rId30" Type="http://schemas.openxmlformats.org/officeDocument/2006/relationships/hyperlink" Target="https://www.timeshighereducation.com/world-university-rankings/university-exeter" TargetMode="External"/><Relationship Id="rId35" Type="http://schemas.openxmlformats.org/officeDocument/2006/relationships/hyperlink" Target="https://www.timeshighereducation.com/world-university-rankings/university-sussex" TargetMode="External"/><Relationship Id="rId43" Type="http://schemas.openxmlformats.org/officeDocument/2006/relationships/hyperlink" Target="https://www.timeshighereducation.com/world-university-rankings/university-dundee" TargetMode="External"/><Relationship Id="rId48" Type="http://schemas.openxmlformats.org/officeDocument/2006/relationships/hyperlink" Target="https://www.timeshighereducation.com/world-university-rankings/royal-holloway-university-london" TargetMode="External"/><Relationship Id="rId56" Type="http://schemas.openxmlformats.org/officeDocument/2006/relationships/hyperlink" Target="https://www.timeshighereducation.com/world-university-rankings/aston-university" TargetMode="External"/><Relationship Id="rId64" Type="http://schemas.openxmlformats.org/officeDocument/2006/relationships/hyperlink" Target="https://www.timeshighereducation.com/world-university-rankings/northumbria-university" TargetMode="External"/><Relationship Id="rId69" Type="http://schemas.openxmlformats.org/officeDocument/2006/relationships/hyperlink" Target="https://www.timeshighereducation.com/world-university-rankings/university-strathclyde-0" TargetMode="External"/><Relationship Id="rId77" Type="http://schemas.openxmlformats.org/officeDocument/2006/relationships/hyperlink" Target="https://www.timeshighereducation.com/world-university-rankings/university-bradford" TargetMode="External"/><Relationship Id="rId100" Type="http://schemas.openxmlformats.org/officeDocument/2006/relationships/hyperlink" Target="https://www.timeshighereducation.com/world-university-rankings/leeds-beckett-university" TargetMode="External"/><Relationship Id="rId105" Type="http://schemas.openxmlformats.org/officeDocument/2006/relationships/hyperlink" Target="https://www.timeshighereducation.com/world-university-rankings/staffordshire-university" TargetMode="External"/><Relationship Id="rId8" Type="http://schemas.openxmlformats.org/officeDocument/2006/relationships/hyperlink" Target="https://www.abdn.ac.uk/study/international/requirements-pg-266.php" TargetMode="External"/><Relationship Id="rId51" Type="http://schemas.openxmlformats.org/officeDocument/2006/relationships/hyperlink" Target="https://www.timeshighereducation.com/world-university-rankings/swansea-university" TargetMode="External"/><Relationship Id="rId72" Type="http://schemas.openxmlformats.org/officeDocument/2006/relationships/hyperlink" Target="https://www.timeshighereducation.com/world-university-rankings/university-hull" TargetMode="External"/><Relationship Id="rId80" Type="http://schemas.openxmlformats.org/officeDocument/2006/relationships/hyperlink" Target="https://www.timeshighereducation.com/world-university-rankings/de-montfort-university" TargetMode="External"/><Relationship Id="rId85" Type="http://schemas.openxmlformats.org/officeDocument/2006/relationships/hyperlink" Target="https://www.timeshighereducation.com/world-university-rankings/university-huddersfield" TargetMode="External"/><Relationship Id="rId93" Type="http://schemas.openxmlformats.org/officeDocument/2006/relationships/hyperlink" Target="https://www.timeshighereducation.com/world-university-rankings/university-westminster" TargetMode="External"/><Relationship Id="rId98" Type="http://schemas.openxmlformats.org/officeDocument/2006/relationships/hyperlink" Target="https://www.timeshighereducation.com/world-university-rankings/university-east-lond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meshighereducation.com/world-university-rankings/2019/world-ranking" TargetMode="External"/><Relationship Id="rId17" Type="http://schemas.openxmlformats.org/officeDocument/2006/relationships/hyperlink" Target="https://www.timeshighereducation.com/world-university-rankings/london-school-economics-and-political-science" TargetMode="External"/><Relationship Id="rId25" Type="http://schemas.openxmlformats.org/officeDocument/2006/relationships/hyperlink" Target="https://www.timeshighereducation.com/world-university-rankings/durham-university" TargetMode="External"/><Relationship Id="rId33" Type="http://schemas.openxmlformats.org/officeDocument/2006/relationships/hyperlink" Target="https://www.timeshighereducation.com/world-university-rankings/university-leeds" TargetMode="External"/><Relationship Id="rId38" Type="http://schemas.openxmlformats.org/officeDocument/2006/relationships/hyperlink" Target="https://www.timeshighereducation.com/world-university-rankings/newcastle-university" TargetMode="External"/><Relationship Id="rId46" Type="http://schemas.openxmlformats.org/officeDocument/2006/relationships/hyperlink" Target="https://www.timeshighereducation.com/world-university-rankings/brighton-and-sussex-medical-school" TargetMode="External"/><Relationship Id="rId59" Type="http://schemas.openxmlformats.org/officeDocument/2006/relationships/hyperlink" Target="https://www.timeshighereducation.com/world-university-rankings/university-stirling" TargetMode="External"/><Relationship Id="rId67" Type="http://schemas.openxmlformats.org/officeDocument/2006/relationships/hyperlink" Target="https://www.timeshighereducation.com/world-university-rankings/royal-veterinary-college" TargetMode="External"/><Relationship Id="rId103" Type="http://schemas.openxmlformats.org/officeDocument/2006/relationships/hyperlink" Target="https://www.timeshighereducation.com/world-university-rankings/sheffield-hallam-university" TargetMode="External"/><Relationship Id="rId108" Type="http://schemas.openxmlformats.org/officeDocument/2006/relationships/hyperlink" Target="https://www.timeshighereducation.com/world-university-rankings/canterbury-christ-church-university" TargetMode="External"/><Relationship Id="rId20" Type="http://schemas.openxmlformats.org/officeDocument/2006/relationships/hyperlink" Target="https://www.timeshighereducation.com/world-university-rankings/university-manchester" TargetMode="External"/><Relationship Id="rId41" Type="http://schemas.openxmlformats.org/officeDocument/2006/relationships/hyperlink" Target="https://www.timeshighereducation.com/world-university-rankings/university-east-anglia" TargetMode="External"/><Relationship Id="rId54" Type="http://schemas.openxmlformats.org/officeDocument/2006/relationships/hyperlink" Target="https://www.timeshighereducation.com/world-university-rankings/heriot-watt-university" TargetMode="External"/><Relationship Id="rId62" Type="http://schemas.openxmlformats.org/officeDocument/2006/relationships/hyperlink" Target="https://www.timeshighereducation.com/world-university-rankings/loughborough-university" TargetMode="External"/><Relationship Id="rId70" Type="http://schemas.openxmlformats.org/officeDocument/2006/relationships/hyperlink" Target="https://www.timeshighereducation.com/world-university-rankings/university-west-scotland" TargetMode="External"/><Relationship Id="rId75" Type="http://schemas.openxmlformats.org/officeDocument/2006/relationships/hyperlink" Target="https://www.timeshighereducation.com/world-university-rankings/open-university" TargetMode="External"/><Relationship Id="rId83" Type="http://schemas.openxmlformats.org/officeDocument/2006/relationships/hyperlink" Target="https://www.timeshighereducation.com/world-university-rankings/university-greenwich" TargetMode="External"/><Relationship Id="rId88" Type="http://schemas.openxmlformats.org/officeDocument/2006/relationships/hyperlink" Target="https://www.timeshighereducation.com/world-university-rankings/manchester-metropolitan-university" TargetMode="External"/><Relationship Id="rId91" Type="http://schemas.openxmlformats.org/officeDocument/2006/relationships/hyperlink" Target="https://www.timeshighereducation.com/world-university-rankings/ulster-university" TargetMode="External"/><Relationship Id="rId96" Type="http://schemas.openxmlformats.org/officeDocument/2006/relationships/hyperlink" Target="https://www.timeshighereducation.com/world-university-rankings/university-central-lancashire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hyperlink" Target="https://www.timeshighereducation.com/world-university-rankings/imperial-college-london" TargetMode="External"/><Relationship Id="rId23" Type="http://schemas.openxmlformats.org/officeDocument/2006/relationships/hyperlink" Target="https://www.timeshighereducation.com/world-university-rankings/university-glasgow" TargetMode="External"/><Relationship Id="rId28" Type="http://schemas.openxmlformats.org/officeDocument/2006/relationships/hyperlink" Target="https://www.timeshighereducation.com/world-university-rankings/university-york" TargetMode="External"/><Relationship Id="rId36" Type="http://schemas.openxmlformats.org/officeDocument/2006/relationships/hyperlink" Target="https://www.timeshighereducation.com/world-university-rankings/university-st-andrews" TargetMode="External"/><Relationship Id="rId49" Type="http://schemas.openxmlformats.org/officeDocument/2006/relationships/hyperlink" Target="https://www.timeshighereducation.com/world-university-rankings/st-georges-university-london" TargetMode="External"/><Relationship Id="rId57" Type="http://schemas.openxmlformats.org/officeDocument/2006/relationships/hyperlink" Target="https://www.timeshighereducation.com/world-university-rankings/city-university-london" TargetMode="External"/><Relationship Id="rId106" Type="http://schemas.openxmlformats.org/officeDocument/2006/relationships/hyperlink" Target="https://www.timeshighereducation.com/world-university-rankings/teesside-university" TargetMode="External"/><Relationship Id="rId10" Type="http://schemas.openxmlformats.org/officeDocument/2006/relationships/hyperlink" Target="https://www.abdn.ac.uk/study/international/inmycountry/entry-requirements.php" TargetMode="External"/><Relationship Id="rId31" Type="http://schemas.openxmlformats.org/officeDocument/2006/relationships/hyperlink" Target="https://www.timeshighereducation.com/world-university-rankings/lancaster-university" TargetMode="External"/><Relationship Id="rId44" Type="http://schemas.openxmlformats.org/officeDocument/2006/relationships/hyperlink" Target="https://www.timeshighereducation.com/world-university-rankings/queens-university-belfast" TargetMode="External"/><Relationship Id="rId52" Type="http://schemas.openxmlformats.org/officeDocument/2006/relationships/hyperlink" Target="https://www.timeshighereducation.com/world-university-rankings/anglia-ruskin-university" TargetMode="External"/><Relationship Id="rId60" Type="http://schemas.openxmlformats.org/officeDocument/2006/relationships/hyperlink" Target="https://www.timeshighereducation.com/world-university-rankings/bangor-university" TargetMode="External"/><Relationship Id="rId65" Type="http://schemas.openxmlformats.org/officeDocument/2006/relationships/hyperlink" Target="https://www.timeshighereducation.com/world-university-rankings/plymouth-university" TargetMode="External"/><Relationship Id="rId73" Type="http://schemas.openxmlformats.org/officeDocument/2006/relationships/hyperlink" Target="https://www.timeshighereducation.com/world-university-rankings/keele-university" TargetMode="External"/><Relationship Id="rId78" Type="http://schemas.openxmlformats.org/officeDocument/2006/relationships/hyperlink" Target="https://www.timeshighereducation.com/world-university-rankings/university-brighton" TargetMode="External"/><Relationship Id="rId81" Type="http://schemas.openxmlformats.org/officeDocument/2006/relationships/hyperlink" Target="https://www.timeshighereducation.com/world-university-rankings/edinburgh-napier-university" TargetMode="External"/><Relationship Id="rId86" Type="http://schemas.openxmlformats.org/officeDocument/2006/relationships/hyperlink" Target="https://www.timeshighereducation.com/world-university-rankings/kingston-university" TargetMode="External"/><Relationship Id="rId94" Type="http://schemas.openxmlformats.org/officeDocument/2006/relationships/hyperlink" Target="https://www.timeshighereducation.com/world-university-rankings/university-wolverhampton" TargetMode="External"/><Relationship Id="rId99" Type="http://schemas.openxmlformats.org/officeDocument/2006/relationships/hyperlink" Target="https://www.timeshighereducation.com/world-university-rankings/edge-hill-university" TargetMode="External"/><Relationship Id="rId101" Type="http://schemas.openxmlformats.org/officeDocument/2006/relationships/hyperlink" Target="https://www.timeshighereducation.com/world-university-rankings/robert-gordon-un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dn.ac.uk/study/international/visa-information.php" TargetMode="External"/><Relationship Id="rId13" Type="http://schemas.openxmlformats.org/officeDocument/2006/relationships/hyperlink" Target="https://www.timeshighereducation.com/world-university-rankings/university-oxford" TargetMode="External"/><Relationship Id="rId18" Type="http://schemas.openxmlformats.org/officeDocument/2006/relationships/hyperlink" Target="https://www.timeshighereducation.com/world-university-rankings/university-edinburgh" TargetMode="External"/><Relationship Id="rId39" Type="http://schemas.openxmlformats.org/officeDocument/2006/relationships/hyperlink" Target="https://www.timeshighereducation.com/world-university-rankings/university-liverpool" TargetMode="External"/><Relationship Id="rId109" Type="http://schemas.openxmlformats.org/officeDocument/2006/relationships/hyperlink" Target="https://www.timeshighereducation.com/world-university-rankings/university-chester" TargetMode="External"/><Relationship Id="rId34" Type="http://schemas.openxmlformats.org/officeDocument/2006/relationships/hyperlink" Target="https://www.timeshighereducation.com/world-university-rankings/university-aberdeen" TargetMode="External"/><Relationship Id="rId50" Type="http://schemas.openxmlformats.org/officeDocument/2006/relationships/hyperlink" Target="https://www.timeshighereducation.com/world-university-rankings/university-surrey" TargetMode="External"/><Relationship Id="rId55" Type="http://schemas.openxmlformats.org/officeDocument/2006/relationships/hyperlink" Target="https://www.timeshighereducation.com/world-university-rankings/aberystwyth-university" TargetMode="External"/><Relationship Id="rId76" Type="http://schemas.openxmlformats.org/officeDocument/2006/relationships/hyperlink" Target="https://www.timeshighereducation.com/world-university-rankings/oxford-brookes-university" TargetMode="External"/><Relationship Id="rId97" Type="http://schemas.openxmlformats.org/officeDocument/2006/relationships/hyperlink" Target="https://www.timeshighereducation.com/world-university-rankings/university-derby" TargetMode="External"/><Relationship Id="rId104" Type="http://schemas.openxmlformats.org/officeDocument/2006/relationships/hyperlink" Target="https://www.timeshighereducation.com/world-university-rankings/university-south-wales" TargetMode="External"/><Relationship Id="rId7" Type="http://schemas.openxmlformats.org/officeDocument/2006/relationships/control" Target="activeX/activeX1.xml"/><Relationship Id="rId71" Type="http://schemas.openxmlformats.org/officeDocument/2006/relationships/hyperlink" Target="https://www.timeshighereducation.com/world-university-rankings/bournemouth-university" TargetMode="External"/><Relationship Id="rId92" Type="http://schemas.openxmlformats.org/officeDocument/2006/relationships/hyperlink" Target="https://www.timeshighereducation.com/world-university-rankings/university-west-englan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NETROMARK</dc:creator>
  <cp:lastModifiedBy>Adenike</cp:lastModifiedBy>
  <cp:revision>2</cp:revision>
  <dcterms:created xsi:type="dcterms:W3CDTF">2019-07-12T09:30:00Z</dcterms:created>
  <dcterms:modified xsi:type="dcterms:W3CDTF">2019-07-12T09:30:00Z</dcterms:modified>
</cp:coreProperties>
</file>