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Linearidade</w:t>
      </w:r>
    </w:p>
    <w:p>
      <w:pPr>
        <w:pStyle w:val="Author"/>
      </w:pPr>
      <w:r>
        <w:t xml:space="preserve">Alejandro</w:t>
      </w:r>
      <w:r>
        <w:t xml:space="preserve"> </w:t>
      </w:r>
      <w:r>
        <w:t xml:space="preserve">Yopasá-Arenas,</w:t>
      </w:r>
      <w:r>
        <w:t xml:space="preserve"> </w:t>
      </w:r>
      <w:r>
        <w:t xml:space="preserve">PhD</w:t>
      </w:r>
    </w:p>
    <w:p>
      <w:pPr>
        <w:pStyle w:val="Date"/>
      </w:pPr>
      <w:r>
        <w:t xml:space="preserve">17/12/2020</w:t>
      </w:r>
    </w:p>
    <w:p>
      <w:pPr>
        <w:pStyle w:val="Heading2"/>
      </w:pPr>
      <w:bookmarkStart w:id="20" w:name="resultados-experimentais"/>
      <w:r>
        <w:t xml:space="preserve">Resultados experimentais</w:t>
      </w:r>
      <w:bookmarkEnd w:id="20"/>
    </w:p>
    <w:p>
      <w:pPr>
        <w:pStyle w:val="TableCaption"/>
      </w:pPr>
      <w:r>
        <w:t xml:space="preserve">Tabela de resultados</w:t>
      </w:r>
    </w:p>
    <w:tbl>
      <w:tblPr>
        <w:tblStyle w:val="Table"/>
        <w:tblW w:type="pct" w:w="0.0"/>
        <w:tblLook w:firstRow="1"/>
        <w:tblCaption w:val="Tabela de resultados"/>
      </w:tblPr>
      <w:tblGrid/>
      <w:tr>
        <w:trPr>
          <w:cnfStyle w:firstRow="1"/>
        </w:trPr>
        <w:tc>
          <w:tcPr>
            <w:tcBorders>
              <w:bottom w:val="single"/>
            </w:tcBorders>
            <w:vAlign w:val="bottom"/>
          </w:tcPr>
          <w:p>
            <w:pPr>
              <w:pStyle w:val="Compact"/>
              <w:jc w:val="center"/>
            </w:pPr>
            <w:r>
              <w:t xml:space="preserve">No. Observação</w:t>
            </w:r>
          </w:p>
        </w:tc>
        <w:tc>
          <w:tcPr>
            <w:tcBorders>
              <w:bottom w:val="single"/>
            </w:tcBorders>
            <w:vAlign w:val="bottom"/>
          </w:tcPr>
          <w:p>
            <w:pPr>
              <w:pStyle w:val="Compact"/>
              <w:jc w:val="center"/>
            </w:pPr>
            <w:r>
              <w:t xml:space="preserve">Concentração</w:t>
            </w:r>
          </w:p>
        </w:tc>
        <w:tc>
          <w:tcPr>
            <w:tcBorders>
              <w:bottom w:val="single"/>
            </w:tcBorders>
            <w:vAlign w:val="bottom"/>
          </w:tcPr>
          <w:p>
            <w:pPr>
              <w:pStyle w:val="Compact"/>
              <w:jc w:val="center"/>
            </w:pPr>
            <w:r>
              <w:t xml:space="preserve">Resposta</w:t>
            </w:r>
          </w:p>
        </w:tc>
      </w:tr>
      <w:tr>
        <w:tc>
          <w:p>
            <w:pPr>
              <w:pStyle w:val="Compact"/>
              <w:jc w:val="center"/>
            </w:pPr>
            <w:r>
              <w:t xml:space="preserve">1</w:t>
            </w:r>
          </w:p>
        </w:tc>
        <w:tc>
          <w:p>
            <w:pPr>
              <w:pStyle w:val="Compact"/>
              <w:jc w:val="center"/>
            </w:pPr>
            <w:r>
              <w:t xml:space="preserve">1,998</w:t>
            </w:r>
          </w:p>
        </w:tc>
        <w:tc>
          <w:p>
            <w:pPr>
              <w:pStyle w:val="Compact"/>
              <w:jc w:val="center"/>
            </w:pPr>
            <w:r>
              <w:t xml:space="preserve">91287</w:t>
            </w:r>
          </w:p>
        </w:tc>
      </w:tr>
      <w:tr>
        <w:tc>
          <w:p>
            <w:pPr>
              <w:pStyle w:val="Compact"/>
              <w:jc w:val="center"/>
            </w:pPr>
            <w:r>
              <w:t xml:space="preserve">2</w:t>
            </w:r>
          </w:p>
        </w:tc>
        <w:tc>
          <w:p>
            <w:pPr>
              <w:pStyle w:val="Compact"/>
              <w:jc w:val="center"/>
            </w:pPr>
            <w:r>
              <w:t xml:space="preserve">1,998</w:t>
            </w:r>
          </w:p>
        </w:tc>
        <w:tc>
          <w:p>
            <w:pPr>
              <w:pStyle w:val="Compact"/>
              <w:jc w:val="center"/>
            </w:pPr>
            <w:r>
              <w:t xml:space="preserve">92635</w:t>
            </w:r>
          </w:p>
        </w:tc>
      </w:tr>
      <w:tr>
        <w:tc>
          <w:p>
            <w:pPr>
              <w:pStyle w:val="Compact"/>
              <w:jc w:val="center"/>
            </w:pPr>
            <w:r>
              <w:t xml:space="preserve">3</w:t>
            </w:r>
          </w:p>
        </w:tc>
        <w:tc>
          <w:p>
            <w:pPr>
              <w:pStyle w:val="Compact"/>
              <w:jc w:val="center"/>
            </w:pPr>
            <w:r>
              <w:t xml:space="preserve">1,998</w:t>
            </w:r>
          </w:p>
        </w:tc>
        <w:tc>
          <w:p>
            <w:pPr>
              <w:pStyle w:val="Compact"/>
              <w:jc w:val="center"/>
            </w:pPr>
            <w:r>
              <w:t xml:space="preserve">87717</w:t>
            </w:r>
          </w:p>
        </w:tc>
      </w:tr>
      <w:tr>
        <w:tc>
          <w:p>
            <w:pPr>
              <w:pStyle w:val="Compact"/>
              <w:jc w:val="center"/>
            </w:pPr>
            <w:r>
              <w:t xml:space="preserve">4</w:t>
            </w:r>
          </w:p>
        </w:tc>
        <w:tc>
          <w:p>
            <w:pPr>
              <w:pStyle w:val="Compact"/>
              <w:jc w:val="center"/>
            </w:pPr>
            <w:r>
              <w:t xml:space="preserve">3,996</w:t>
            </w:r>
          </w:p>
        </w:tc>
        <w:tc>
          <w:p>
            <w:pPr>
              <w:pStyle w:val="Compact"/>
              <w:jc w:val="center"/>
            </w:pPr>
            <w:r>
              <w:t xml:space="preserve">181620</w:t>
            </w:r>
          </w:p>
        </w:tc>
      </w:tr>
      <w:tr>
        <w:tc>
          <w:p>
            <w:pPr>
              <w:pStyle w:val="Compact"/>
              <w:jc w:val="center"/>
            </w:pPr>
            <w:r>
              <w:t xml:space="preserve">5</w:t>
            </w:r>
          </w:p>
        </w:tc>
        <w:tc>
          <w:p>
            <w:pPr>
              <w:pStyle w:val="Compact"/>
              <w:jc w:val="center"/>
            </w:pPr>
            <w:r>
              <w:t xml:space="preserve">3,996</w:t>
            </w:r>
          </w:p>
        </w:tc>
        <w:tc>
          <w:p>
            <w:pPr>
              <w:pStyle w:val="Compact"/>
              <w:jc w:val="center"/>
            </w:pPr>
            <w:r>
              <w:t xml:space="preserve">183739</w:t>
            </w:r>
          </w:p>
        </w:tc>
      </w:tr>
      <w:tr>
        <w:tc>
          <w:p>
            <w:pPr>
              <w:pStyle w:val="Compact"/>
              <w:jc w:val="center"/>
            </w:pPr>
            <w:r>
              <w:t xml:space="preserve">6</w:t>
            </w:r>
          </w:p>
        </w:tc>
        <w:tc>
          <w:p>
            <w:pPr>
              <w:pStyle w:val="Compact"/>
              <w:jc w:val="center"/>
            </w:pPr>
            <w:r>
              <w:t xml:space="preserve">3,996</w:t>
            </w:r>
          </w:p>
        </w:tc>
        <w:tc>
          <w:p>
            <w:pPr>
              <w:pStyle w:val="Compact"/>
              <w:jc w:val="center"/>
            </w:pPr>
            <w:r>
              <w:t xml:space="preserve">175633</w:t>
            </w:r>
          </w:p>
        </w:tc>
      </w:tr>
      <w:tr>
        <w:tc>
          <w:p>
            <w:pPr>
              <w:pStyle w:val="Compact"/>
              <w:jc w:val="center"/>
            </w:pPr>
            <w:r>
              <w:t xml:space="preserve">7</w:t>
            </w:r>
          </w:p>
        </w:tc>
        <w:tc>
          <w:p>
            <w:pPr>
              <w:pStyle w:val="Compact"/>
              <w:jc w:val="center"/>
            </w:pPr>
            <w:r>
              <w:t xml:space="preserve">5,994</w:t>
            </w:r>
          </w:p>
        </w:tc>
        <w:tc>
          <w:p>
            <w:pPr>
              <w:pStyle w:val="Compact"/>
              <w:jc w:val="center"/>
            </w:pPr>
            <w:r>
              <w:t xml:space="preserve">288423</w:t>
            </w:r>
          </w:p>
        </w:tc>
      </w:tr>
      <w:tr>
        <w:tc>
          <w:p>
            <w:pPr>
              <w:pStyle w:val="Compact"/>
              <w:jc w:val="center"/>
            </w:pPr>
            <w:r>
              <w:t xml:space="preserve">8</w:t>
            </w:r>
          </w:p>
        </w:tc>
        <w:tc>
          <w:p>
            <w:pPr>
              <w:pStyle w:val="Compact"/>
              <w:jc w:val="center"/>
            </w:pPr>
            <w:r>
              <w:t xml:space="preserve">5,994</w:t>
            </w:r>
          </w:p>
        </w:tc>
        <w:tc>
          <w:p>
            <w:pPr>
              <w:pStyle w:val="Compact"/>
              <w:jc w:val="center"/>
            </w:pPr>
            <w:r>
              <w:t xml:space="preserve">276837</w:t>
            </w:r>
          </w:p>
        </w:tc>
      </w:tr>
      <w:tr>
        <w:tc>
          <w:p>
            <w:pPr>
              <w:pStyle w:val="Compact"/>
              <w:jc w:val="center"/>
            </w:pPr>
            <w:r>
              <w:t xml:space="preserve">9</w:t>
            </w:r>
          </w:p>
        </w:tc>
        <w:tc>
          <w:p>
            <w:pPr>
              <w:pStyle w:val="Compact"/>
              <w:jc w:val="center"/>
            </w:pPr>
            <w:r>
              <w:t xml:space="preserve">5,994</w:t>
            </w:r>
          </w:p>
        </w:tc>
        <w:tc>
          <w:p>
            <w:pPr>
              <w:pStyle w:val="Compact"/>
              <w:jc w:val="center"/>
            </w:pPr>
            <w:r>
              <w:t xml:space="preserve">271491</w:t>
            </w:r>
          </w:p>
        </w:tc>
      </w:tr>
      <w:tr>
        <w:tc>
          <w:p>
            <w:pPr>
              <w:pStyle w:val="Compact"/>
              <w:jc w:val="center"/>
            </w:pPr>
            <w:r>
              <w:t xml:space="preserve">10</w:t>
            </w:r>
          </w:p>
        </w:tc>
        <w:tc>
          <w:p>
            <w:pPr>
              <w:pStyle w:val="Compact"/>
              <w:jc w:val="center"/>
            </w:pPr>
            <w:r>
              <w:t xml:space="preserve">7,992</w:t>
            </w:r>
          </w:p>
        </w:tc>
        <w:tc>
          <w:p>
            <w:pPr>
              <w:pStyle w:val="Compact"/>
              <w:jc w:val="center"/>
            </w:pPr>
            <w:r>
              <w:t xml:space="preserve">371431</w:t>
            </w:r>
          </w:p>
        </w:tc>
      </w:tr>
      <w:tr>
        <w:tc>
          <w:p>
            <w:pPr>
              <w:pStyle w:val="Compact"/>
              <w:jc w:val="center"/>
            </w:pPr>
            <w:r>
              <w:t xml:space="preserve">11</w:t>
            </w:r>
          </w:p>
        </w:tc>
        <w:tc>
          <w:p>
            <w:pPr>
              <w:pStyle w:val="Compact"/>
              <w:jc w:val="center"/>
            </w:pPr>
            <w:r>
              <w:t xml:space="preserve">7,992</w:t>
            </w:r>
          </w:p>
        </w:tc>
        <w:tc>
          <w:p>
            <w:pPr>
              <w:pStyle w:val="Compact"/>
              <w:jc w:val="center"/>
            </w:pPr>
            <w:r>
              <w:t xml:space="preserve">378810</w:t>
            </w:r>
          </w:p>
        </w:tc>
      </w:tr>
      <w:tr>
        <w:tc>
          <w:p>
            <w:pPr>
              <w:pStyle w:val="Compact"/>
              <w:jc w:val="center"/>
            </w:pPr>
            <w:r>
              <w:t xml:space="preserve">12</w:t>
            </w:r>
          </w:p>
        </w:tc>
        <w:tc>
          <w:p>
            <w:pPr>
              <w:pStyle w:val="Compact"/>
              <w:jc w:val="center"/>
            </w:pPr>
            <w:r>
              <w:t xml:space="preserve">7,992</w:t>
            </w:r>
          </w:p>
        </w:tc>
        <w:tc>
          <w:p>
            <w:pPr>
              <w:pStyle w:val="Compact"/>
              <w:jc w:val="center"/>
            </w:pPr>
            <w:r>
              <w:t xml:space="preserve">361988</w:t>
            </w:r>
          </w:p>
        </w:tc>
      </w:tr>
      <w:tr>
        <w:tc>
          <w:p>
            <w:pPr>
              <w:pStyle w:val="Compact"/>
              <w:jc w:val="center"/>
            </w:pPr>
            <w:r>
              <w:t xml:space="preserve">13</w:t>
            </w:r>
          </w:p>
        </w:tc>
        <w:tc>
          <w:p>
            <w:pPr>
              <w:pStyle w:val="Compact"/>
              <w:jc w:val="center"/>
            </w:pPr>
            <w:r>
              <w:t xml:space="preserve">8,991</w:t>
            </w:r>
          </w:p>
        </w:tc>
        <w:tc>
          <w:p>
            <w:pPr>
              <w:pStyle w:val="Compact"/>
              <w:jc w:val="center"/>
            </w:pPr>
            <w:r>
              <w:t xml:space="preserve">445930</w:t>
            </w:r>
          </w:p>
        </w:tc>
      </w:tr>
      <w:tr>
        <w:tc>
          <w:p>
            <w:pPr>
              <w:pStyle w:val="Compact"/>
              <w:jc w:val="center"/>
            </w:pPr>
            <w:r>
              <w:t xml:space="preserve">14</w:t>
            </w:r>
          </w:p>
        </w:tc>
        <w:tc>
          <w:p>
            <w:pPr>
              <w:pStyle w:val="Compact"/>
              <w:jc w:val="center"/>
            </w:pPr>
            <w:r>
              <w:t xml:space="preserve">8,991</w:t>
            </w:r>
          </w:p>
        </w:tc>
        <w:tc>
          <w:p>
            <w:pPr>
              <w:pStyle w:val="Compact"/>
              <w:jc w:val="center"/>
            </w:pPr>
            <w:r>
              <w:t xml:space="preserve">425366</w:t>
            </w:r>
          </w:p>
        </w:tc>
      </w:tr>
      <w:tr>
        <w:tc>
          <w:p>
            <w:pPr>
              <w:pStyle w:val="Compact"/>
              <w:jc w:val="center"/>
            </w:pPr>
            <w:r>
              <w:t xml:space="preserve">15</w:t>
            </w:r>
          </w:p>
        </w:tc>
        <w:tc>
          <w:p>
            <w:pPr>
              <w:pStyle w:val="Compact"/>
              <w:jc w:val="center"/>
            </w:pPr>
            <w:r>
              <w:t xml:space="preserve">8,991</w:t>
            </w:r>
          </w:p>
        </w:tc>
        <w:tc>
          <w:p>
            <w:pPr>
              <w:pStyle w:val="Compact"/>
              <w:jc w:val="center"/>
            </w:pPr>
            <w:r>
              <w:t xml:space="preserve">440826</w:t>
            </w:r>
          </w:p>
        </w:tc>
      </w:tr>
      <w:tr>
        <w:tc>
          <w:p>
            <w:pPr>
              <w:pStyle w:val="Compact"/>
              <w:jc w:val="center"/>
            </w:pPr>
            <w:r>
              <w:t xml:space="preserve">16</w:t>
            </w:r>
          </w:p>
        </w:tc>
        <w:tc>
          <w:p>
            <w:pPr>
              <w:pStyle w:val="Compact"/>
              <w:jc w:val="center"/>
            </w:pPr>
            <w:r>
              <w:t xml:space="preserve">9,990</w:t>
            </w:r>
          </w:p>
        </w:tc>
        <w:tc>
          <w:p>
            <w:pPr>
              <w:pStyle w:val="Compact"/>
              <w:jc w:val="center"/>
            </w:pPr>
            <w:r>
              <w:t xml:space="preserve">470969</w:t>
            </w:r>
          </w:p>
        </w:tc>
      </w:tr>
      <w:tr>
        <w:tc>
          <w:p>
            <w:pPr>
              <w:pStyle w:val="Compact"/>
              <w:jc w:val="center"/>
            </w:pPr>
            <w:r>
              <w:t xml:space="preserve">17</w:t>
            </w:r>
          </w:p>
        </w:tc>
        <w:tc>
          <w:p>
            <w:pPr>
              <w:pStyle w:val="Compact"/>
              <w:jc w:val="center"/>
            </w:pPr>
            <w:r>
              <w:t xml:space="preserve">9,990</w:t>
            </w:r>
          </w:p>
        </w:tc>
        <w:tc>
          <w:p>
            <w:pPr>
              <w:pStyle w:val="Compact"/>
              <w:jc w:val="center"/>
            </w:pPr>
            <w:r>
              <w:t xml:space="preserve">453986</w:t>
            </w:r>
          </w:p>
        </w:tc>
      </w:tr>
      <w:tr>
        <w:tc>
          <w:p>
            <w:pPr>
              <w:pStyle w:val="Compact"/>
              <w:jc w:val="center"/>
            </w:pPr>
            <w:r>
              <w:t xml:space="preserve">18</w:t>
            </w:r>
          </w:p>
        </w:tc>
        <w:tc>
          <w:p>
            <w:pPr>
              <w:pStyle w:val="Compact"/>
              <w:jc w:val="center"/>
            </w:pPr>
            <w:r>
              <w:t xml:space="preserve">9,990</w:t>
            </w:r>
          </w:p>
        </w:tc>
        <w:tc>
          <w:p>
            <w:pPr>
              <w:pStyle w:val="Compact"/>
              <w:jc w:val="center"/>
            </w:pPr>
            <w:r>
              <w:t xml:space="preserve">502596</w:t>
            </w:r>
          </w:p>
        </w:tc>
      </w:tr>
      <w:tr>
        <w:tc>
          <w:p>
            <w:pPr>
              <w:pStyle w:val="Compact"/>
              <w:jc w:val="center"/>
            </w:pPr>
            <w:r>
              <w:t xml:space="preserve">19</w:t>
            </w:r>
          </w:p>
        </w:tc>
        <w:tc>
          <w:p>
            <w:pPr>
              <w:pStyle w:val="Compact"/>
              <w:jc w:val="center"/>
            </w:pPr>
            <w:r>
              <w:t xml:space="preserve">10,989</w:t>
            </w:r>
          </w:p>
        </w:tc>
        <w:tc>
          <w:p>
            <w:pPr>
              <w:pStyle w:val="Compact"/>
              <w:jc w:val="center"/>
            </w:pPr>
            <w:r>
              <w:t xml:space="preserve">543081</w:t>
            </w:r>
          </w:p>
        </w:tc>
      </w:tr>
      <w:tr>
        <w:tc>
          <w:p>
            <w:pPr>
              <w:pStyle w:val="Compact"/>
              <w:jc w:val="center"/>
            </w:pPr>
            <w:r>
              <w:t xml:space="preserve">20</w:t>
            </w:r>
          </w:p>
        </w:tc>
        <w:tc>
          <w:p>
            <w:pPr>
              <w:pStyle w:val="Compact"/>
              <w:jc w:val="center"/>
            </w:pPr>
            <w:r>
              <w:t xml:space="preserve">10,989</w:t>
            </w:r>
          </w:p>
        </w:tc>
        <w:tc>
          <w:p>
            <w:pPr>
              <w:pStyle w:val="Compact"/>
              <w:jc w:val="center"/>
            </w:pPr>
            <w:r>
              <w:t xml:space="preserve">480102</w:t>
            </w:r>
          </w:p>
        </w:tc>
      </w:tr>
      <w:tr>
        <w:tc>
          <w:p>
            <w:pPr>
              <w:pStyle w:val="Compact"/>
              <w:jc w:val="center"/>
            </w:pPr>
            <w:r>
              <w:t xml:space="preserve">21</w:t>
            </w:r>
          </w:p>
        </w:tc>
        <w:tc>
          <w:p>
            <w:pPr>
              <w:pStyle w:val="Compact"/>
              <w:jc w:val="center"/>
            </w:pPr>
            <w:r>
              <w:t xml:space="preserve">10,989</w:t>
            </w:r>
          </w:p>
        </w:tc>
        <w:tc>
          <w:p>
            <w:pPr>
              <w:pStyle w:val="Compact"/>
              <w:jc w:val="center"/>
            </w:pPr>
            <w:r>
              <w:t xml:space="preserve">529029</w:t>
            </w:r>
          </w:p>
        </w:tc>
      </w:tr>
      <w:tr>
        <w:tc>
          <w:p>
            <w:pPr>
              <w:pStyle w:val="Compact"/>
              <w:jc w:val="center"/>
            </w:pPr>
            <w:r>
              <w:t xml:space="preserve">22</w:t>
            </w:r>
          </w:p>
        </w:tc>
        <w:tc>
          <w:p>
            <w:pPr>
              <w:pStyle w:val="Compact"/>
              <w:jc w:val="center"/>
            </w:pPr>
            <w:r>
              <w:t xml:space="preserve">11,988</w:t>
            </w:r>
          </w:p>
        </w:tc>
        <w:tc>
          <w:p>
            <w:pPr>
              <w:pStyle w:val="Compact"/>
              <w:jc w:val="center"/>
            </w:pPr>
            <w:r>
              <w:t xml:space="preserve">602909</w:t>
            </w:r>
          </w:p>
        </w:tc>
      </w:tr>
      <w:tr>
        <w:tc>
          <w:p>
            <w:pPr>
              <w:pStyle w:val="Compact"/>
              <w:jc w:val="center"/>
            </w:pPr>
            <w:r>
              <w:t xml:space="preserve">23</w:t>
            </w:r>
          </w:p>
        </w:tc>
        <w:tc>
          <w:p>
            <w:pPr>
              <w:pStyle w:val="Compact"/>
              <w:jc w:val="center"/>
            </w:pPr>
            <w:r>
              <w:t xml:space="preserve">11,988</w:t>
            </w:r>
          </w:p>
        </w:tc>
        <w:tc>
          <w:p>
            <w:pPr>
              <w:pStyle w:val="Compact"/>
              <w:jc w:val="center"/>
            </w:pPr>
            <w:r>
              <w:t xml:space="preserve">523646</w:t>
            </w:r>
          </w:p>
        </w:tc>
      </w:tr>
      <w:tr>
        <w:tc>
          <w:p>
            <w:pPr>
              <w:pStyle w:val="Compact"/>
              <w:jc w:val="center"/>
            </w:pPr>
            <w:r>
              <w:t xml:space="preserve">24</w:t>
            </w:r>
          </w:p>
        </w:tc>
        <w:tc>
          <w:p>
            <w:pPr>
              <w:pStyle w:val="Compact"/>
              <w:jc w:val="center"/>
            </w:pPr>
            <w:r>
              <w:t xml:space="preserve">11,988</w:t>
            </w:r>
          </w:p>
        </w:tc>
        <w:tc>
          <w:p>
            <w:pPr>
              <w:pStyle w:val="Compact"/>
              <w:jc w:val="center"/>
            </w:pPr>
            <w:r>
              <w:t xml:space="preserve">586989</w:t>
            </w:r>
          </w:p>
        </w:tc>
      </w:tr>
    </w:tbl>
    <w:p>
      <w:pPr>
        <w:pStyle w:val="Heading2"/>
      </w:pPr>
      <w:bookmarkStart w:id="21" w:name="ajuste-do-modelo-linear"/>
      <w:r>
        <w:t xml:space="preserve">Ajuste do modelo linear</w:t>
      </w:r>
      <w:bookmarkEnd w:id="21"/>
    </w:p>
    <w:p>
      <w:pPr>
        <w:pStyle w:val="FirstParagraph"/>
      </w:pPr>
      <w:r>
        <w:t xml:space="preserve">O nosso modelo é representado por:</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ϵ</m:t>
              </m:r>
            </m:e>
            <m:sub>
              <m:r>
                <m:t>i</m:t>
              </m:r>
              <m:r>
                <m:t>j</m:t>
              </m:r>
            </m:sub>
          </m:sSub>
          <m:r>
            <m:t>,</m:t>
          </m:r>
          <m:r>
            <m:t> </m:t>
          </m:r>
          <m:r>
            <m:t>j</m:t>
          </m:r>
          <m:r>
            <m:t>=</m:t>
          </m:r>
          <m:r>
            <m:t>1</m:t>
          </m:r>
          <m:r>
            <m:t>,</m:t>
          </m:r>
          <m:r>
            <m:t>.</m:t>
          </m:r>
          <m:r>
            <m:t>.</m:t>
          </m:r>
          <m:r>
            <m:t>.</m:t>
          </m:r>
          <m:r>
            <m:t>,</m:t>
          </m:r>
          <m:sSub>
            <m:e>
              <m:r>
                <m:t>n</m:t>
              </m:r>
            </m:e>
            <m:sub>
              <m:r>
                <m:t>i</m:t>
              </m:r>
            </m:sub>
          </m:sSub>
          <m:r>
            <m:t> </m:t>
          </m:r>
          <m:r>
            <m:t>e</m:t>
          </m:r>
          <m:r>
            <m:t> </m:t>
          </m:r>
          <m:r>
            <m:t>i</m:t>
          </m:r>
          <m:r>
            <m:t>=</m:t>
          </m:r>
          <m:r>
            <m:t>1</m:t>
          </m:r>
          <m:r>
            <m:t>,</m:t>
          </m:r>
          <m:r>
            <m:t>.</m:t>
          </m:r>
          <m:r>
            <m:t>.</m:t>
          </m:r>
          <m:r>
            <m:t>.</m:t>
          </m:r>
          <m:r>
            <m:t>k</m:t>
          </m:r>
        </m:oMath>
      </m:oMathPara>
    </w:p>
    <w:p>
      <w:pPr>
        <w:pStyle w:val="FirstParagraph"/>
      </w:pPr>
      <w:r>
        <w:t xml:space="preserve">Em que:</w:t>
      </w:r>
    </w:p>
    <w:p>
      <w:pPr>
        <w:pStyle w:val="Compact"/>
        <w:numPr>
          <w:numId w:val="1001"/>
          <w:ilvl w:val="0"/>
        </w:numPr>
      </w:pPr>
      <m:oMath>
        <m:sSub>
          <m:e>
            <m:r>
              <m:t>Y</m:t>
            </m:r>
          </m:e>
          <m:sub>
            <m:r>
              <m:t>i</m:t>
            </m:r>
            <m:r>
              <m:t>j</m:t>
            </m:r>
          </m:sub>
        </m:sSub>
      </m:oMath>
      <w:r>
        <w:t xml:space="preserve"> </w:t>
      </w:r>
      <w:r>
        <w:t xml:space="preserve">representa o sinal analítico (área, absorbância. etc…);</w:t>
      </w:r>
    </w:p>
    <w:p>
      <w:pPr>
        <w:pStyle w:val="Compact"/>
        <w:numPr>
          <w:numId w:val="1001"/>
          <w:ilvl w:val="0"/>
        </w:numPr>
      </w:pPr>
      <m:oMath>
        <m:sSub>
          <m:e>
            <m:r>
              <m:t>x</m:t>
            </m:r>
          </m:e>
          <m:sub>
            <m:r>
              <m:t>i</m:t>
            </m:r>
            <m:r>
              <m:t>j</m:t>
            </m:r>
          </m:sub>
        </m:sSub>
      </m:oMath>
      <w:r>
        <w:t xml:space="preserve"> </w:t>
      </w:r>
      <w:r>
        <w:t xml:space="preserve">representa a concentração;</w:t>
      </w:r>
    </w:p>
    <w:p>
      <w:pPr>
        <w:pStyle w:val="Compact"/>
        <w:numPr>
          <w:numId w:val="1001"/>
          <w:ilvl w:val="0"/>
        </w:numPr>
      </w:pPr>
      <m:oMath>
        <m:sSub>
          <m:e>
            <m:r>
              <m:t>β</m:t>
            </m:r>
          </m:e>
          <m:sub>
            <m:r>
              <m:t>0</m:t>
            </m:r>
          </m:sub>
        </m:sSub>
      </m:oMath>
      <w:r>
        <w:t xml:space="preserve"> </w:t>
      </w:r>
      <w:r>
        <w:t xml:space="preserve">representa o coeficiente linear ou intercepto;</w:t>
      </w:r>
    </w:p>
    <w:p>
      <w:pPr>
        <w:pStyle w:val="Compact"/>
        <w:numPr>
          <w:numId w:val="1001"/>
          <w:ilvl w:val="0"/>
        </w:numPr>
      </w:pPr>
      <m:oMath>
        <m:sSub>
          <m:e>
            <m:r>
              <m:t>β</m:t>
            </m:r>
          </m:e>
          <m:sub>
            <m:r>
              <m:t>1</m:t>
            </m:r>
          </m:sub>
        </m:sSub>
      </m:oMath>
      <w:r>
        <w:t xml:space="preserve"> </w:t>
      </w:r>
      <w:r>
        <w:t xml:space="preserve">representa o coeficiente angular;</w:t>
      </w:r>
    </w:p>
    <w:p>
      <w:pPr>
        <w:pStyle w:val="Compact"/>
        <w:numPr>
          <w:numId w:val="1001"/>
          <w:ilvl w:val="0"/>
        </w:numPr>
      </w:pPr>
      <m:oMath>
        <m:r>
          <m:t>ϵ</m:t>
        </m:r>
      </m:oMath>
      <w:r>
        <w:t xml:space="preserve"> </w:t>
      </w:r>
      <w:r>
        <w:t xml:space="preserve">representa o erro experimental;</w:t>
      </w:r>
    </w:p>
    <w:p>
      <w:pPr>
        <w:pStyle w:val="Compact"/>
        <w:numPr>
          <w:numId w:val="1001"/>
          <w:ilvl w:val="0"/>
        </w:numPr>
      </w:pPr>
      <m:oMath>
        <m:sSub>
          <m:e>
            <m:r>
              <m:t>n</m:t>
            </m:r>
          </m:e>
          <m:sub>
            <m:r>
              <m:t>i</m:t>
            </m:r>
          </m:sub>
        </m:sSub>
      </m:oMath>
      <w:r>
        <w:t xml:space="preserve"> </w:t>
      </w:r>
      <w:r>
        <w:t xml:space="preserve">representa o número de réplicas do ponto</w:t>
      </w:r>
      <w:r>
        <w:t xml:space="preserve"> </w:t>
      </w:r>
      <m:oMath>
        <m:r>
          <m:t>i</m:t>
        </m:r>
      </m:oMath>
      <w:r>
        <w:t xml:space="preserve"> </w:t>
      </w:r>
      <w:r>
        <w:t xml:space="preserve">de concentração;</w:t>
      </w:r>
    </w:p>
    <w:p>
      <w:pPr>
        <w:pStyle w:val="Compact"/>
        <w:numPr>
          <w:numId w:val="1001"/>
          <w:ilvl w:val="0"/>
        </w:numPr>
      </w:pPr>
      <m:oMath>
        <m:r>
          <m:t>k</m:t>
        </m:r>
      </m:oMath>
      <w:r>
        <w:t xml:space="preserve"> </w:t>
      </w:r>
      <w:r>
        <w:t xml:space="preserve">representa o número de pontos ou níveis.</w:t>
      </w:r>
    </w:p>
    <w:p>
      <w:pPr>
        <w:pStyle w:val="FirstParagraph"/>
      </w:pPr>
      <w:r>
        <w:t xml:space="preserve">O ajuste de modelos lineares é feito no R fácilmente com a função</w:t>
      </w:r>
      <w:r>
        <w:t xml:space="preserve"> </w:t>
      </w:r>
      <w:r>
        <w:rPr>
          <w:rStyle w:val="VerbatimChar"/>
        </w:rPr>
        <w:t xml:space="preserve">lm()</w:t>
      </w:r>
      <w:r>
        <w:t xml:space="preserve">. A função faz a regressão e a análise da variância e covariância. Obtemos o seguinte modelo</w:t>
      </w:r>
    </w:p>
    <w:p>
      <w:pPr>
        <w:pStyle w:val="TableCaption"/>
      </w:pPr>
      <w:r>
        <w:t xml:space="preserve">Tabela de coeficientes</w:t>
      </w:r>
    </w:p>
    <w:tbl>
      <w:tblPr>
        <w:tblStyle w:val="Table"/>
        <w:tblW w:type="pct" w:w="0.0"/>
        <w:tblLook w:firstRow="1"/>
        <w:tblCaption w:val="Tabela de coeficiente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Estimativa</w:t>
            </w:r>
          </w:p>
        </w:tc>
        <w:tc>
          <w:tcPr>
            <w:tcBorders>
              <w:bottom w:val="single"/>
            </w:tcBorders>
            <w:vAlign w:val="bottom"/>
          </w:tcPr>
          <w:p>
            <w:pPr>
              <w:pStyle w:val="Compact"/>
              <w:jc w:val="center"/>
            </w:pPr>
            <w:r>
              <w:t xml:space="preserve">Desvio Padrão</w:t>
            </w:r>
          </w:p>
        </w:tc>
        <w:tc>
          <w:tcPr>
            <w:tcBorders>
              <w:bottom w:val="single"/>
            </w:tcBorders>
            <w:vAlign w:val="bottom"/>
          </w:tcPr>
          <w:p>
            <w:pPr>
              <w:pStyle w:val="Compact"/>
              <w:jc w:val="center"/>
            </w:pPr>
            <w:r>
              <w:t xml:space="preserve">Valor t</w:t>
            </w:r>
          </w:p>
        </w:tc>
        <w:tc>
          <w:tcPr>
            <w:tcBorders>
              <w:bottom w:val="single"/>
            </w:tcBorders>
            <w:vAlign w:val="bottom"/>
          </w:tcPr>
          <w:p>
            <w:pPr>
              <w:pStyle w:val="Compact"/>
              <w:jc w:val="center"/>
            </w:pPr>
            <w:r>
              <w:t xml:space="preserve">Pr(&gt;|t|)</w:t>
            </w:r>
          </w:p>
        </w:tc>
      </w:tr>
      <w:tr>
        <w:tc>
          <w:p>
            <w:pPr>
              <w:pStyle w:val="Compact"/>
              <w:jc w:val="left"/>
            </w:pPr>
            <w:r>
              <w:t xml:space="preserve">Intercepto</w:t>
            </w:r>
          </w:p>
        </w:tc>
        <w:tc>
          <w:p>
            <w:pPr>
              <w:pStyle w:val="Compact"/>
              <w:jc w:val="center"/>
            </w:pPr>
            <w:r>
              <w:t xml:space="preserve">-9443</w:t>
            </w:r>
          </w:p>
        </w:tc>
        <w:tc>
          <w:p>
            <w:pPr>
              <w:pStyle w:val="Compact"/>
              <w:jc w:val="center"/>
            </w:pPr>
            <w:r>
              <w:t xml:space="preserve">10136</w:t>
            </w:r>
          </w:p>
        </w:tc>
        <w:tc>
          <w:p>
            <w:pPr>
              <w:pStyle w:val="Compact"/>
              <w:jc w:val="center"/>
            </w:pPr>
            <w:r>
              <w:t xml:space="preserve">-0,9316</w:t>
            </w:r>
          </w:p>
        </w:tc>
        <w:tc>
          <w:p>
            <w:pPr>
              <w:pStyle w:val="Compact"/>
              <w:jc w:val="center"/>
            </w:pPr>
            <w:r>
              <w:t xml:space="preserve">0,3616</w:t>
            </w:r>
          </w:p>
        </w:tc>
      </w:tr>
      <w:tr>
        <w:tc>
          <w:p>
            <w:pPr>
              <w:pStyle w:val="Compact"/>
              <w:jc w:val="left"/>
            </w:pPr>
            <w:r>
              <w:t xml:space="preserve">Concentração</w:t>
            </w:r>
          </w:p>
        </w:tc>
        <w:tc>
          <w:p>
            <w:pPr>
              <w:pStyle w:val="Compact"/>
              <w:jc w:val="center"/>
            </w:pPr>
            <w:r>
              <w:t xml:space="preserve">48403</w:t>
            </w:r>
          </w:p>
        </w:tc>
        <w:tc>
          <w:p>
            <w:pPr>
              <w:pStyle w:val="Compact"/>
              <w:jc w:val="center"/>
            </w:pPr>
            <w:r>
              <w:t xml:space="preserve">1206</w:t>
            </w:r>
          </w:p>
        </w:tc>
        <w:tc>
          <w:p>
            <w:pPr>
              <w:pStyle w:val="Compact"/>
              <w:jc w:val="center"/>
            </w:pPr>
            <w:r>
              <w:t xml:space="preserve">40,1248</w:t>
            </w:r>
          </w:p>
        </w:tc>
        <w:tc>
          <w:p>
            <w:pPr>
              <w:pStyle w:val="Compact"/>
              <w:jc w:val="center"/>
            </w:pPr>
            <w:r>
              <w:t xml:space="preserve">0,0000</w:t>
            </w:r>
          </w:p>
        </w:tc>
      </w:tr>
    </w:tbl>
    <w:p>
      <w:pPr>
        <w:pStyle w:val="BodyText"/>
      </w:pPr>
      <w:r>
        <w:t xml:space="preserve">Temos que os dados são ajustados por uma curva linear de intercepto= -9442,9682 e coeficiente angular= 48402,5767.</w:t>
      </w:r>
    </w:p>
    <w:p>
      <w:pPr>
        <w:pStyle w:val="BodyText"/>
      </w:pPr>
      <w:r>
        <w:drawing>
          <wp:inline>
            <wp:extent cx="5334000" cy="3048000"/>
            <wp:effectExtent b="0" l="0" r="0" t="0"/>
            <wp:docPr descr="" title="" id="1" name="Picture"/>
            <a:graphic>
              <a:graphicData uri="http://schemas.openxmlformats.org/drawingml/2006/picture">
                <pic:pic>
                  <pic:nvPicPr>
                    <pic:cNvPr descr="linearidade_hetero_portalaction_files/figure-docx/GRA_LIN-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TableCaption"/>
      </w:pPr>
      <w:r>
        <w:t xml:space="preserve">Tabela de resultados do ajuste</w:t>
      </w:r>
    </w:p>
    <w:tbl>
      <w:tblPr>
        <w:tblStyle w:val="Table"/>
        <w:tblW w:type="pct" w:w="0.0"/>
        <w:tblLook w:firstRow="1"/>
        <w:tblCaption w:val="Tabela de resultados do ajuste"/>
      </w:tblPr>
      <w:tblGrid/>
      <w:tr>
        <w:trPr>
          <w:cnfStyle w:firstRow="1"/>
        </w:trPr>
        <w:tc>
          <w:tcPr>
            <w:tcBorders>
              <w:bottom w:val="single"/>
            </w:tcBorders>
            <w:vAlign w:val="bottom"/>
          </w:tcPr>
          <w:p>
            <w:pPr>
              <w:pStyle w:val="Compact"/>
              <w:jc w:val="center"/>
            </w:pPr>
            <w:r>
              <w:t xml:space="preserve">No. Observação</w:t>
            </w:r>
          </w:p>
        </w:tc>
        <w:tc>
          <w:tcPr>
            <w:tcBorders>
              <w:bottom w:val="single"/>
            </w:tcBorders>
            <w:vAlign w:val="bottom"/>
          </w:tcPr>
          <w:p>
            <w:pPr>
              <w:pStyle w:val="Compact"/>
              <w:jc w:val="center"/>
            </w:pPr>
            <w:r>
              <w:t xml:space="preserve">Concentração</w:t>
            </w:r>
          </w:p>
        </w:tc>
        <w:tc>
          <w:tcPr>
            <w:tcBorders>
              <w:bottom w:val="single"/>
            </w:tcBorders>
            <w:vAlign w:val="bottom"/>
          </w:tcPr>
          <w:p>
            <w:pPr>
              <w:pStyle w:val="Compact"/>
              <w:jc w:val="center"/>
            </w:pPr>
            <w:r>
              <w:t xml:space="preserve">Resposta</w:t>
            </w:r>
          </w:p>
        </w:tc>
        <w:tc>
          <w:tcPr>
            <w:tcBorders>
              <w:bottom w:val="single"/>
            </w:tcBorders>
            <w:vAlign w:val="bottom"/>
          </w:tcPr>
          <w:p>
            <w:pPr>
              <w:pStyle w:val="Compact"/>
              <w:jc w:val="center"/>
            </w:pPr>
            <w:r>
              <w:t xml:space="preserve">Resposta ajustada</w:t>
            </w:r>
          </w:p>
        </w:tc>
        <w:tc>
          <w:tcPr>
            <w:tcBorders>
              <w:bottom w:val="single"/>
            </w:tcBorders>
            <w:vAlign w:val="bottom"/>
          </w:tcPr>
          <w:p>
            <w:pPr>
              <w:pStyle w:val="Compact"/>
              <w:jc w:val="center"/>
            </w:pPr>
            <w:r>
              <w:t xml:space="preserve">Resíduo</w:t>
            </w:r>
          </w:p>
        </w:tc>
      </w:tr>
      <w:tr>
        <w:tc>
          <w:p>
            <w:pPr>
              <w:pStyle w:val="Compact"/>
              <w:jc w:val="center"/>
            </w:pPr>
            <w:r>
              <w:t xml:space="preserve">1</w:t>
            </w:r>
          </w:p>
        </w:tc>
        <w:tc>
          <w:p>
            <w:pPr>
              <w:pStyle w:val="Compact"/>
              <w:jc w:val="center"/>
            </w:pPr>
            <w:r>
              <w:t xml:space="preserve">1,998</w:t>
            </w:r>
          </w:p>
        </w:tc>
        <w:tc>
          <w:p>
            <w:pPr>
              <w:pStyle w:val="Compact"/>
              <w:jc w:val="center"/>
            </w:pPr>
            <w:r>
              <w:t xml:space="preserve">91287</w:t>
            </w:r>
          </w:p>
        </w:tc>
        <w:tc>
          <w:p>
            <w:pPr>
              <w:pStyle w:val="Compact"/>
              <w:jc w:val="center"/>
            </w:pPr>
            <w:r>
              <w:t xml:space="preserve">87265</w:t>
            </w:r>
          </w:p>
        </w:tc>
        <w:tc>
          <w:p>
            <w:pPr>
              <w:pStyle w:val="Compact"/>
              <w:jc w:val="center"/>
            </w:pPr>
            <w:r>
              <w:t xml:space="preserve">4021,9</w:t>
            </w:r>
          </w:p>
        </w:tc>
      </w:tr>
      <w:tr>
        <w:tc>
          <w:p>
            <w:pPr>
              <w:pStyle w:val="Compact"/>
              <w:jc w:val="center"/>
            </w:pPr>
            <w:r>
              <w:t xml:space="preserve">2</w:t>
            </w:r>
          </w:p>
        </w:tc>
        <w:tc>
          <w:p>
            <w:pPr>
              <w:pStyle w:val="Compact"/>
              <w:jc w:val="center"/>
            </w:pPr>
            <w:r>
              <w:t xml:space="preserve">1,998</w:t>
            </w:r>
          </w:p>
        </w:tc>
        <w:tc>
          <w:p>
            <w:pPr>
              <w:pStyle w:val="Compact"/>
              <w:jc w:val="center"/>
            </w:pPr>
            <w:r>
              <w:t xml:space="preserve">92635</w:t>
            </w:r>
          </w:p>
        </w:tc>
        <w:tc>
          <w:p>
            <w:pPr>
              <w:pStyle w:val="Compact"/>
              <w:jc w:val="center"/>
            </w:pPr>
            <w:r>
              <w:t xml:space="preserve">87265</w:t>
            </w:r>
          </w:p>
        </w:tc>
        <w:tc>
          <w:p>
            <w:pPr>
              <w:pStyle w:val="Compact"/>
              <w:jc w:val="center"/>
            </w:pPr>
            <w:r>
              <w:t xml:space="preserve">5369,1</w:t>
            </w:r>
          </w:p>
        </w:tc>
      </w:tr>
      <w:tr>
        <w:tc>
          <w:p>
            <w:pPr>
              <w:pStyle w:val="Compact"/>
              <w:jc w:val="center"/>
            </w:pPr>
            <w:r>
              <w:t xml:space="preserve">3</w:t>
            </w:r>
          </w:p>
        </w:tc>
        <w:tc>
          <w:p>
            <w:pPr>
              <w:pStyle w:val="Compact"/>
              <w:jc w:val="center"/>
            </w:pPr>
            <w:r>
              <w:t xml:space="preserve">1,998</w:t>
            </w:r>
          </w:p>
        </w:tc>
        <w:tc>
          <w:p>
            <w:pPr>
              <w:pStyle w:val="Compact"/>
              <w:jc w:val="center"/>
            </w:pPr>
            <w:r>
              <w:t xml:space="preserve">87717</w:t>
            </w:r>
          </w:p>
        </w:tc>
        <w:tc>
          <w:p>
            <w:pPr>
              <w:pStyle w:val="Compact"/>
              <w:jc w:val="center"/>
            </w:pPr>
            <w:r>
              <w:t xml:space="preserve">87265</w:t>
            </w:r>
          </w:p>
        </w:tc>
        <w:tc>
          <w:p>
            <w:pPr>
              <w:pStyle w:val="Compact"/>
              <w:jc w:val="center"/>
            </w:pPr>
            <w:r>
              <w:t xml:space="preserve">451,9</w:t>
            </w:r>
          </w:p>
        </w:tc>
      </w:tr>
      <w:tr>
        <w:tc>
          <w:p>
            <w:pPr>
              <w:pStyle w:val="Compact"/>
              <w:jc w:val="center"/>
            </w:pPr>
            <w:r>
              <w:t xml:space="preserve">4</w:t>
            </w:r>
          </w:p>
        </w:tc>
        <w:tc>
          <w:p>
            <w:pPr>
              <w:pStyle w:val="Compact"/>
              <w:jc w:val="center"/>
            </w:pPr>
            <w:r>
              <w:t xml:space="preserve">3,996</w:t>
            </w:r>
          </w:p>
        </w:tc>
        <w:tc>
          <w:p>
            <w:pPr>
              <w:pStyle w:val="Compact"/>
              <w:jc w:val="center"/>
            </w:pPr>
            <w:r>
              <w:t xml:space="preserve">181620</w:t>
            </w:r>
          </w:p>
        </w:tc>
        <w:tc>
          <w:p>
            <w:pPr>
              <w:pStyle w:val="Compact"/>
              <w:jc w:val="center"/>
            </w:pPr>
            <w:r>
              <w:t xml:space="preserve">183969</w:t>
            </w:r>
          </w:p>
        </w:tc>
        <w:tc>
          <w:p>
            <w:pPr>
              <w:pStyle w:val="Compact"/>
              <w:jc w:val="center"/>
            </w:pPr>
            <w:r>
              <w:t xml:space="preserve">-2348,8</w:t>
            </w:r>
          </w:p>
        </w:tc>
      </w:tr>
      <w:tr>
        <w:tc>
          <w:p>
            <w:pPr>
              <w:pStyle w:val="Compact"/>
              <w:jc w:val="center"/>
            </w:pPr>
            <w:r>
              <w:t xml:space="preserve">5</w:t>
            </w:r>
          </w:p>
        </w:tc>
        <w:tc>
          <w:p>
            <w:pPr>
              <w:pStyle w:val="Compact"/>
              <w:jc w:val="center"/>
            </w:pPr>
            <w:r>
              <w:t xml:space="preserve">3,996</w:t>
            </w:r>
          </w:p>
        </w:tc>
        <w:tc>
          <w:p>
            <w:pPr>
              <w:pStyle w:val="Compact"/>
              <w:jc w:val="center"/>
            </w:pPr>
            <w:r>
              <w:t xml:space="preserve">183739</w:t>
            </w:r>
          </w:p>
        </w:tc>
        <w:tc>
          <w:p>
            <w:pPr>
              <w:pStyle w:val="Compact"/>
              <w:jc w:val="center"/>
            </w:pPr>
            <w:r>
              <w:t xml:space="preserve">183969</w:t>
            </w:r>
          </w:p>
        </w:tc>
        <w:tc>
          <w:p>
            <w:pPr>
              <w:pStyle w:val="Compact"/>
              <w:jc w:val="center"/>
            </w:pPr>
            <w:r>
              <w:t xml:space="preserve">-229,7</w:t>
            </w:r>
          </w:p>
        </w:tc>
      </w:tr>
      <w:tr>
        <w:tc>
          <w:p>
            <w:pPr>
              <w:pStyle w:val="Compact"/>
              <w:jc w:val="center"/>
            </w:pPr>
            <w:r>
              <w:t xml:space="preserve">6</w:t>
            </w:r>
          </w:p>
        </w:tc>
        <w:tc>
          <w:p>
            <w:pPr>
              <w:pStyle w:val="Compact"/>
              <w:jc w:val="center"/>
            </w:pPr>
            <w:r>
              <w:t xml:space="preserve">3,996</w:t>
            </w:r>
          </w:p>
        </w:tc>
        <w:tc>
          <w:p>
            <w:pPr>
              <w:pStyle w:val="Compact"/>
              <w:jc w:val="center"/>
            </w:pPr>
            <w:r>
              <w:t xml:space="preserve">175633</w:t>
            </w:r>
          </w:p>
        </w:tc>
        <w:tc>
          <w:p>
            <w:pPr>
              <w:pStyle w:val="Compact"/>
              <w:jc w:val="center"/>
            </w:pPr>
            <w:r>
              <w:t xml:space="preserve">183969</w:t>
            </w:r>
          </w:p>
        </w:tc>
        <w:tc>
          <w:p>
            <w:pPr>
              <w:pStyle w:val="Compact"/>
              <w:jc w:val="center"/>
            </w:pPr>
            <w:r>
              <w:t xml:space="preserve">-8335,4</w:t>
            </w:r>
          </w:p>
        </w:tc>
      </w:tr>
      <w:tr>
        <w:tc>
          <w:p>
            <w:pPr>
              <w:pStyle w:val="Compact"/>
              <w:jc w:val="center"/>
            </w:pPr>
            <w:r>
              <w:t xml:space="preserve">7</w:t>
            </w:r>
          </w:p>
        </w:tc>
        <w:tc>
          <w:p>
            <w:pPr>
              <w:pStyle w:val="Compact"/>
              <w:jc w:val="center"/>
            </w:pPr>
            <w:r>
              <w:t xml:space="preserve">5,994</w:t>
            </w:r>
          </w:p>
        </w:tc>
        <w:tc>
          <w:p>
            <w:pPr>
              <w:pStyle w:val="Compact"/>
              <w:jc w:val="center"/>
            </w:pPr>
            <w:r>
              <w:t xml:space="preserve">288423</w:t>
            </w:r>
          </w:p>
        </w:tc>
        <w:tc>
          <w:p>
            <w:pPr>
              <w:pStyle w:val="Compact"/>
              <w:jc w:val="center"/>
            </w:pPr>
            <w:r>
              <w:t xml:space="preserve">280677</w:t>
            </w:r>
          </w:p>
        </w:tc>
        <w:tc>
          <w:p>
            <w:pPr>
              <w:pStyle w:val="Compact"/>
              <w:jc w:val="center"/>
            </w:pPr>
            <w:r>
              <w:t xml:space="preserve">7745,4</w:t>
            </w:r>
          </w:p>
        </w:tc>
      </w:tr>
      <w:tr>
        <w:tc>
          <w:p>
            <w:pPr>
              <w:pStyle w:val="Compact"/>
              <w:jc w:val="center"/>
            </w:pPr>
            <w:r>
              <w:t xml:space="preserve">8</w:t>
            </w:r>
          </w:p>
        </w:tc>
        <w:tc>
          <w:p>
            <w:pPr>
              <w:pStyle w:val="Compact"/>
              <w:jc w:val="center"/>
            </w:pPr>
            <w:r>
              <w:t xml:space="preserve">5,994</w:t>
            </w:r>
          </w:p>
        </w:tc>
        <w:tc>
          <w:p>
            <w:pPr>
              <w:pStyle w:val="Compact"/>
              <w:jc w:val="center"/>
            </w:pPr>
            <w:r>
              <w:t xml:space="preserve">276837</w:t>
            </w:r>
          </w:p>
        </w:tc>
        <w:tc>
          <w:p>
            <w:pPr>
              <w:pStyle w:val="Compact"/>
              <w:jc w:val="center"/>
            </w:pPr>
            <w:r>
              <w:t xml:space="preserve">280677</w:t>
            </w:r>
          </w:p>
        </w:tc>
        <w:tc>
          <w:p>
            <w:pPr>
              <w:pStyle w:val="Compact"/>
              <w:jc w:val="center"/>
            </w:pPr>
            <w:r>
              <w:t xml:space="preserve">-3840,2</w:t>
            </w:r>
          </w:p>
        </w:tc>
      </w:tr>
      <w:tr>
        <w:tc>
          <w:p>
            <w:pPr>
              <w:pStyle w:val="Compact"/>
              <w:jc w:val="center"/>
            </w:pPr>
            <w:r>
              <w:t xml:space="preserve">9</w:t>
            </w:r>
          </w:p>
        </w:tc>
        <w:tc>
          <w:p>
            <w:pPr>
              <w:pStyle w:val="Compact"/>
              <w:jc w:val="center"/>
            </w:pPr>
            <w:r>
              <w:t xml:space="preserve">5,994</w:t>
            </w:r>
          </w:p>
        </w:tc>
        <w:tc>
          <w:p>
            <w:pPr>
              <w:pStyle w:val="Compact"/>
              <w:jc w:val="center"/>
            </w:pPr>
            <w:r>
              <w:t xml:space="preserve">271491</w:t>
            </w:r>
          </w:p>
        </w:tc>
        <w:tc>
          <w:p>
            <w:pPr>
              <w:pStyle w:val="Compact"/>
              <w:jc w:val="center"/>
            </w:pPr>
            <w:r>
              <w:t xml:space="preserve">280677</w:t>
            </w:r>
          </w:p>
        </w:tc>
        <w:tc>
          <w:p>
            <w:pPr>
              <w:pStyle w:val="Compact"/>
              <w:jc w:val="center"/>
            </w:pPr>
            <w:r>
              <w:t xml:space="preserve">-9185,8</w:t>
            </w:r>
          </w:p>
        </w:tc>
      </w:tr>
      <w:tr>
        <w:tc>
          <w:p>
            <w:pPr>
              <w:pStyle w:val="Compact"/>
              <w:jc w:val="center"/>
            </w:pPr>
            <w:r>
              <w:t xml:space="preserve">10</w:t>
            </w:r>
          </w:p>
        </w:tc>
        <w:tc>
          <w:p>
            <w:pPr>
              <w:pStyle w:val="Compact"/>
              <w:jc w:val="center"/>
            </w:pPr>
            <w:r>
              <w:t xml:space="preserve">7,992</w:t>
            </w:r>
          </w:p>
        </w:tc>
        <w:tc>
          <w:p>
            <w:pPr>
              <w:pStyle w:val="Compact"/>
              <w:jc w:val="center"/>
            </w:pPr>
            <w:r>
              <w:t xml:space="preserve">371431</w:t>
            </w:r>
          </w:p>
        </w:tc>
        <w:tc>
          <w:p>
            <w:pPr>
              <w:pStyle w:val="Compact"/>
              <w:jc w:val="center"/>
            </w:pPr>
            <w:r>
              <w:t xml:space="preserve">377381</w:t>
            </w:r>
          </w:p>
        </w:tc>
        <w:tc>
          <w:p>
            <w:pPr>
              <w:pStyle w:val="Compact"/>
              <w:jc w:val="center"/>
            </w:pPr>
            <w:r>
              <w:t xml:space="preserve">-5949,4</w:t>
            </w:r>
          </w:p>
        </w:tc>
      </w:tr>
      <w:tr>
        <w:tc>
          <w:p>
            <w:pPr>
              <w:pStyle w:val="Compact"/>
              <w:jc w:val="center"/>
            </w:pPr>
            <w:r>
              <w:t xml:space="preserve">11</w:t>
            </w:r>
          </w:p>
        </w:tc>
        <w:tc>
          <w:p>
            <w:pPr>
              <w:pStyle w:val="Compact"/>
              <w:jc w:val="center"/>
            </w:pPr>
            <w:r>
              <w:t xml:space="preserve">7,992</w:t>
            </w:r>
          </w:p>
        </w:tc>
        <w:tc>
          <w:p>
            <w:pPr>
              <w:pStyle w:val="Compact"/>
              <w:jc w:val="center"/>
            </w:pPr>
            <w:r>
              <w:t xml:space="preserve">378810</w:t>
            </w:r>
          </w:p>
        </w:tc>
        <w:tc>
          <w:p>
            <w:pPr>
              <w:pStyle w:val="Compact"/>
              <w:jc w:val="center"/>
            </w:pPr>
            <w:r>
              <w:t xml:space="preserve">377381</w:t>
            </w:r>
          </w:p>
        </w:tc>
        <w:tc>
          <w:p>
            <w:pPr>
              <w:pStyle w:val="Compact"/>
              <w:jc w:val="center"/>
            </w:pPr>
            <w:r>
              <w:t xml:space="preserve">1429,5</w:t>
            </w:r>
          </w:p>
        </w:tc>
      </w:tr>
      <w:tr>
        <w:tc>
          <w:p>
            <w:pPr>
              <w:pStyle w:val="Compact"/>
              <w:jc w:val="center"/>
            </w:pPr>
            <w:r>
              <w:t xml:space="preserve">12</w:t>
            </w:r>
          </w:p>
        </w:tc>
        <w:tc>
          <w:p>
            <w:pPr>
              <w:pStyle w:val="Compact"/>
              <w:jc w:val="center"/>
            </w:pPr>
            <w:r>
              <w:t xml:space="preserve">7,992</w:t>
            </w:r>
          </w:p>
        </w:tc>
        <w:tc>
          <w:p>
            <w:pPr>
              <w:pStyle w:val="Compact"/>
              <w:jc w:val="center"/>
            </w:pPr>
            <w:r>
              <w:t xml:space="preserve">361988</w:t>
            </w:r>
          </w:p>
        </w:tc>
        <w:tc>
          <w:p>
            <w:pPr>
              <w:pStyle w:val="Compact"/>
              <w:jc w:val="center"/>
            </w:pPr>
            <w:r>
              <w:t xml:space="preserve">377381</w:t>
            </w:r>
          </w:p>
        </w:tc>
        <w:tc>
          <w:p>
            <w:pPr>
              <w:pStyle w:val="Compact"/>
              <w:jc w:val="center"/>
            </w:pPr>
            <w:r>
              <w:t xml:space="preserve">-15393,0</w:t>
            </w:r>
          </w:p>
        </w:tc>
      </w:tr>
      <w:tr>
        <w:tc>
          <w:p>
            <w:pPr>
              <w:pStyle w:val="Compact"/>
              <w:jc w:val="center"/>
            </w:pPr>
            <w:r>
              <w:t xml:space="preserve">13</w:t>
            </w:r>
          </w:p>
        </w:tc>
        <w:tc>
          <w:p>
            <w:pPr>
              <w:pStyle w:val="Compact"/>
              <w:jc w:val="center"/>
            </w:pPr>
            <w:r>
              <w:t xml:space="preserve">8,991</w:t>
            </w:r>
          </w:p>
        </w:tc>
        <w:tc>
          <w:p>
            <w:pPr>
              <w:pStyle w:val="Compact"/>
              <w:jc w:val="center"/>
            </w:pPr>
            <w:r>
              <w:t xml:space="preserve">445930</w:t>
            </w:r>
          </w:p>
        </w:tc>
        <w:tc>
          <w:p>
            <w:pPr>
              <w:pStyle w:val="Compact"/>
              <w:jc w:val="center"/>
            </w:pPr>
            <w:r>
              <w:t xml:space="preserve">425735</w:t>
            </w:r>
          </w:p>
        </w:tc>
        <w:tc>
          <w:p>
            <w:pPr>
              <w:pStyle w:val="Compact"/>
              <w:jc w:val="center"/>
            </w:pPr>
            <w:r>
              <w:t xml:space="preserve">20195,4</w:t>
            </w:r>
          </w:p>
        </w:tc>
      </w:tr>
      <w:tr>
        <w:tc>
          <w:p>
            <w:pPr>
              <w:pStyle w:val="Compact"/>
              <w:jc w:val="center"/>
            </w:pPr>
            <w:r>
              <w:t xml:space="preserve">14</w:t>
            </w:r>
          </w:p>
        </w:tc>
        <w:tc>
          <w:p>
            <w:pPr>
              <w:pStyle w:val="Compact"/>
              <w:jc w:val="center"/>
            </w:pPr>
            <w:r>
              <w:t xml:space="preserve">8,991</w:t>
            </w:r>
          </w:p>
        </w:tc>
        <w:tc>
          <w:p>
            <w:pPr>
              <w:pStyle w:val="Compact"/>
              <w:jc w:val="center"/>
            </w:pPr>
            <w:r>
              <w:t xml:space="preserve">425366</w:t>
            </w:r>
          </w:p>
        </w:tc>
        <w:tc>
          <w:p>
            <w:pPr>
              <w:pStyle w:val="Compact"/>
              <w:jc w:val="center"/>
            </w:pPr>
            <w:r>
              <w:t xml:space="preserve">425735</w:t>
            </w:r>
          </w:p>
        </w:tc>
        <w:tc>
          <w:p>
            <w:pPr>
              <w:pStyle w:val="Compact"/>
              <w:jc w:val="center"/>
            </w:pPr>
            <w:r>
              <w:t xml:space="preserve">-368,6</w:t>
            </w:r>
          </w:p>
        </w:tc>
      </w:tr>
      <w:tr>
        <w:tc>
          <w:p>
            <w:pPr>
              <w:pStyle w:val="Compact"/>
              <w:jc w:val="center"/>
            </w:pPr>
            <w:r>
              <w:t xml:space="preserve">15</w:t>
            </w:r>
          </w:p>
        </w:tc>
        <w:tc>
          <w:p>
            <w:pPr>
              <w:pStyle w:val="Compact"/>
              <w:jc w:val="center"/>
            </w:pPr>
            <w:r>
              <w:t xml:space="preserve">8,991</w:t>
            </w:r>
          </w:p>
        </w:tc>
        <w:tc>
          <w:p>
            <w:pPr>
              <w:pStyle w:val="Compact"/>
              <w:jc w:val="center"/>
            </w:pPr>
            <w:r>
              <w:t xml:space="preserve">440826</w:t>
            </w:r>
          </w:p>
        </w:tc>
        <w:tc>
          <w:p>
            <w:pPr>
              <w:pStyle w:val="Compact"/>
              <w:jc w:val="center"/>
            </w:pPr>
            <w:r>
              <w:t xml:space="preserve">425735</w:t>
            </w:r>
          </w:p>
        </w:tc>
        <w:tc>
          <w:p>
            <w:pPr>
              <w:pStyle w:val="Compact"/>
              <w:jc w:val="center"/>
            </w:pPr>
            <w:r>
              <w:t xml:space="preserve">15090,7</w:t>
            </w:r>
          </w:p>
        </w:tc>
      </w:tr>
      <w:tr>
        <w:tc>
          <w:p>
            <w:pPr>
              <w:pStyle w:val="Compact"/>
              <w:jc w:val="center"/>
            </w:pPr>
            <w:r>
              <w:t xml:space="preserve">16</w:t>
            </w:r>
          </w:p>
        </w:tc>
        <w:tc>
          <w:p>
            <w:pPr>
              <w:pStyle w:val="Compact"/>
              <w:jc w:val="center"/>
            </w:pPr>
            <w:r>
              <w:t xml:space="preserve">9,990</w:t>
            </w:r>
          </w:p>
        </w:tc>
        <w:tc>
          <w:p>
            <w:pPr>
              <w:pStyle w:val="Compact"/>
              <w:jc w:val="center"/>
            </w:pPr>
            <w:r>
              <w:t xml:space="preserve">470969</w:t>
            </w:r>
          </w:p>
        </w:tc>
        <w:tc>
          <w:p>
            <w:pPr>
              <w:pStyle w:val="Compact"/>
              <w:jc w:val="center"/>
            </w:pPr>
            <w:r>
              <w:t xml:space="preserve">474089</w:t>
            </w:r>
          </w:p>
        </w:tc>
        <w:tc>
          <w:p>
            <w:pPr>
              <w:pStyle w:val="Compact"/>
              <w:jc w:val="center"/>
            </w:pPr>
            <w:r>
              <w:t xml:space="preserve">-3119,8</w:t>
            </w:r>
          </w:p>
        </w:tc>
      </w:tr>
      <w:tr>
        <w:tc>
          <w:p>
            <w:pPr>
              <w:pStyle w:val="Compact"/>
              <w:jc w:val="center"/>
            </w:pPr>
            <w:r>
              <w:t xml:space="preserve">17</w:t>
            </w:r>
          </w:p>
        </w:tc>
        <w:tc>
          <w:p>
            <w:pPr>
              <w:pStyle w:val="Compact"/>
              <w:jc w:val="center"/>
            </w:pPr>
            <w:r>
              <w:t xml:space="preserve">9,990</w:t>
            </w:r>
          </w:p>
        </w:tc>
        <w:tc>
          <w:p>
            <w:pPr>
              <w:pStyle w:val="Compact"/>
              <w:jc w:val="center"/>
            </w:pPr>
            <w:r>
              <w:t xml:space="preserve">453986</w:t>
            </w:r>
          </w:p>
        </w:tc>
        <w:tc>
          <w:p>
            <w:pPr>
              <w:pStyle w:val="Compact"/>
              <w:jc w:val="center"/>
            </w:pPr>
            <w:r>
              <w:t xml:space="preserve">474089</w:t>
            </w:r>
          </w:p>
        </w:tc>
        <w:tc>
          <w:p>
            <w:pPr>
              <w:pStyle w:val="Compact"/>
              <w:jc w:val="center"/>
            </w:pPr>
            <w:r>
              <w:t xml:space="preserve">-20102,8</w:t>
            </w:r>
          </w:p>
        </w:tc>
      </w:tr>
      <w:tr>
        <w:tc>
          <w:p>
            <w:pPr>
              <w:pStyle w:val="Compact"/>
              <w:jc w:val="center"/>
            </w:pPr>
            <w:r>
              <w:t xml:space="preserve">18</w:t>
            </w:r>
          </w:p>
        </w:tc>
        <w:tc>
          <w:p>
            <w:pPr>
              <w:pStyle w:val="Compact"/>
              <w:jc w:val="center"/>
            </w:pPr>
            <w:r>
              <w:t xml:space="preserve">9,990</w:t>
            </w:r>
          </w:p>
        </w:tc>
        <w:tc>
          <w:p>
            <w:pPr>
              <w:pStyle w:val="Compact"/>
              <w:jc w:val="center"/>
            </w:pPr>
            <w:r>
              <w:t xml:space="preserve">502596</w:t>
            </w:r>
          </w:p>
        </w:tc>
        <w:tc>
          <w:p>
            <w:pPr>
              <w:pStyle w:val="Compact"/>
              <w:jc w:val="center"/>
            </w:pPr>
            <w:r>
              <w:t xml:space="preserve">474089</w:t>
            </w:r>
          </w:p>
        </w:tc>
        <w:tc>
          <w:p>
            <w:pPr>
              <w:pStyle w:val="Compact"/>
              <w:jc w:val="center"/>
            </w:pPr>
            <w:r>
              <w:t xml:space="preserve">28507,0</w:t>
            </w:r>
          </w:p>
        </w:tc>
      </w:tr>
      <w:tr>
        <w:tc>
          <w:p>
            <w:pPr>
              <w:pStyle w:val="Compact"/>
              <w:jc w:val="center"/>
            </w:pPr>
            <w:r>
              <w:t xml:space="preserve">19</w:t>
            </w:r>
          </w:p>
        </w:tc>
        <w:tc>
          <w:p>
            <w:pPr>
              <w:pStyle w:val="Compact"/>
              <w:jc w:val="center"/>
            </w:pPr>
            <w:r>
              <w:t xml:space="preserve">10,989</w:t>
            </w:r>
          </w:p>
        </w:tc>
        <w:tc>
          <w:p>
            <w:pPr>
              <w:pStyle w:val="Compact"/>
              <w:jc w:val="center"/>
            </w:pPr>
            <w:r>
              <w:t xml:space="preserve">543081</w:t>
            </w:r>
          </w:p>
        </w:tc>
        <w:tc>
          <w:p>
            <w:pPr>
              <w:pStyle w:val="Compact"/>
              <w:jc w:val="center"/>
            </w:pPr>
            <w:r>
              <w:t xml:space="preserve">522438</w:t>
            </w:r>
          </w:p>
        </w:tc>
        <w:tc>
          <w:p>
            <w:pPr>
              <w:pStyle w:val="Compact"/>
              <w:jc w:val="center"/>
            </w:pPr>
            <w:r>
              <w:t xml:space="preserve">20642,9</w:t>
            </w:r>
          </w:p>
        </w:tc>
      </w:tr>
      <w:tr>
        <w:tc>
          <w:p>
            <w:pPr>
              <w:pStyle w:val="Compact"/>
              <w:jc w:val="center"/>
            </w:pPr>
            <w:r>
              <w:t xml:space="preserve">20</w:t>
            </w:r>
          </w:p>
        </w:tc>
        <w:tc>
          <w:p>
            <w:pPr>
              <w:pStyle w:val="Compact"/>
              <w:jc w:val="center"/>
            </w:pPr>
            <w:r>
              <w:t xml:space="preserve">10,989</w:t>
            </w:r>
          </w:p>
        </w:tc>
        <w:tc>
          <w:p>
            <w:pPr>
              <w:pStyle w:val="Compact"/>
              <w:jc w:val="center"/>
            </w:pPr>
            <w:r>
              <w:t xml:space="preserve">480102</w:t>
            </w:r>
          </w:p>
        </w:tc>
        <w:tc>
          <w:p>
            <w:pPr>
              <w:pStyle w:val="Compact"/>
              <w:jc w:val="center"/>
            </w:pPr>
            <w:r>
              <w:t xml:space="preserve">522438</w:t>
            </w:r>
          </w:p>
        </w:tc>
        <w:tc>
          <w:p>
            <w:pPr>
              <w:pStyle w:val="Compact"/>
              <w:jc w:val="center"/>
            </w:pPr>
            <w:r>
              <w:t xml:space="preserve">-42336,7</w:t>
            </w:r>
          </w:p>
        </w:tc>
      </w:tr>
      <w:tr>
        <w:tc>
          <w:p>
            <w:pPr>
              <w:pStyle w:val="Compact"/>
              <w:jc w:val="center"/>
            </w:pPr>
            <w:r>
              <w:t xml:space="preserve">21</w:t>
            </w:r>
          </w:p>
        </w:tc>
        <w:tc>
          <w:p>
            <w:pPr>
              <w:pStyle w:val="Compact"/>
              <w:jc w:val="center"/>
            </w:pPr>
            <w:r>
              <w:t xml:space="preserve">10,989</w:t>
            </w:r>
          </w:p>
        </w:tc>
        <w:tc>
          <w:p>
            <w:pPr>
              <w:pStyle w:val="Compact"/>
              <w:jc w:val="center"/>
            </w:pPr>
            <w:r>
              <w:t xml:space="preserve">529029</w:t>
            </w:r>
          </w:p>
        </w:tc>
        <w:tc>
          <w:p>
            <w:pPr>
              <w:pStyle w:val="Compact"/>
              <w:jc w:val="center"/>
            </w:pPr>
            <w:r>
              <w:t xml:space="preserve">522438</w:t>
            </w:r>
          </w:p>
        </w:tc>
        <w:tc>
          <w:p>
            <w:pPr>
              <w:pStyle w:val="Compact"/>
              <w:jc w:val="center"/>
            </w:pPr>
            <w:r>
              <w:t xml:space="preserve">6590,3</w:t>
            </w:r>
          </w:p>
        </w:tc>
      </w:tr>
      <w:tr>
        <w:tc>
          <w:p>
            <w:pPr>
              <w:pStyle w:val="Compact"/>
              <w:jc w:val="center"/>
            </w:pPr>
            <w:r>
              <w:t xml:space="preserve">22</w:t>
            </w:r>
          </w:p>
        </w:tc>
        <w:tc>
          <w:p>
            <w:pPr>
              <w:pStyle w:val="Compact"/>
              <w:jc w:val="center"/>
            </w:pPr>
            <w:r>
              <w:t xml:space="preserve">11,988</w:t>
            </w:r>
          </w:p>
        </w:tc>
        <w:tc>
          <w:p>
            <w:pPr>
              <w:pStyle w:val="Compact"/>
              <w:jc w:val="center"/>
            </w:pPr>
            <w:r>
              <w:t xml:space="preserve">602909</w:t>
            </w:r>
          </w:p>
        </w:tc>
        <w:tc>
          <w:p>
            <w:pPr>
              <w:pStyle w:val="Compact"/>
              <w:jc w:val="center"/>
            </w:pPr>
            <w:r>
              <w:t xml:space="preserve">570793</w:t>
            </w:r>
          </w:p>
        </w:tc>
        <w:tc>
          <w:p>
            <w:pPr>
              <w:pStyle w:val="Compact"/>
              <w:jc w:val="center"/>
            </w:pPr>
            <w:r>
              <w:t xml:space="preserve">32116,8</w:t>
            </w:r>
          </w:p>
        </w:tc>
      </w:tr>
      <w:tr>
        <w:tc>
          <w:p>
            <w:pPr>
              <w:pStyle w:val="Compact"/>
              <w:jc w:val="center"/>
            </w:pPr>
            <w:r>
              <w:t xml:space="preserve">23</w:t>
            </w:r>
          </w:p>
        </w:tc>
        <w:tc>
          <w:p>
            <w:pPr>
              <w:pStyle w:val="Compact"/>
              <w:jc w:val="center"/>
            </w:pPr>
            <w:r>
              <w:t xml:space="preserve">11,988</w:t>
            </w:r>
          </w:p>
        </w:tc>
        <w:tc>
          <w:p>
            <w:pPr>
              <w:pStyle w:val="Compact"/>
              <w:jc w:val="center"/>
            </w:pPr>
            <w:r>
              <w:t xml:space="preserve">523646</w:t>
            </w:r>
          </w:p>
        </w:tc>
        <w:tc>
          <w:p>
            <w:pPr>
              <w:pStyle w:val="Compact"/>
              <w:jc w:val="center"/>
            </w:pPr>
            <w:r>
              <w:t xml:space="preserve">570793</w:t>
            </w:r>
          </w:p>
        </w:tc>
        <w:tc>
          <w:p>
            <w:pPr>
              <w:pStyle w:val="Compact"/>
              <w:jc w:val="center"/>
            </w:pPr>
            <w:r>
              <w:t xml:space="preserve">-47147,0</w:t>
            </w:r>
          </w:p>
        </w:tc>
      </w:tr>
      <w:tr>
        <w:tc>
          <w:p>
            <w:pPr>
              <w:pStyle w:val="Compact"/>
              <w:jc w:val="center"/>
            </w:pPr>
            <w:r>
              <w:t xml:space="preserve">24</w:t>
            </w:r>
          </w:p>
        </w:tc>
        <w:tc>
          <w:p>
            <w:pPr>
              <w:pStyle w:val="Compact"/>
              <w:jc w:val="center"/>
            </w:pPr>
            <w:r>
              <w:t xml:space="preserve">11,988</w:t>
            </w:r>
          </w:p>
        </w:tc>
        <w:tc>
          <w:p>
            <w:pPr>
              <w:pStyle w:val="Compact"/>
              <w:jc w:val="center"/>
            </w:pPr>
            <w:r>
              <w:t xml:space="preserve">586989</w:t>
            </w:r>
          </w:p>
        </w:tc>
        <w:tc>
          <w:p>
            <w:pPr>
              <w:pStyle w:val="Compact"/>
              <w:jc w:val="center"/>
            </w:pPr>
            <w:r>
              <w:t xml:space="preserve">570793</w:t>
            </w:r>
          </w:p>
        </w:tc>
        <w:tc>
          <w:p>
            <w:pPr>
              <w:pStyle w:val="Compact"/>
              <w:jc w:val="center"/>
            </w:pPr>
            <w:r>
              <w:t xml:space="preserve">16196,1</w:t>
            </w:r>
          </w:p>
        </w:tc>
      </w:tr>
    </w:tbl>
    <w:p>
      <w:pPr>
        <w:pStyle w:val="Heading2"/>
      </w:pPr>
      <w:bookmarkStart w:id="23" w:name="X9b21ab52d5d345fcd5945a92863e214aab4cad4"/>
      <w:r>
        <w:t xml:space="preserve">Análise dos coeficientes do modelo linear:</w:t>
      </w:r>
      <w:bookmarkEnd w:id="23"/>
    </w:p>
    <w:p>
      <w:pPr>
        <w:pStyle w:val="Heading3"/>
      </w:pPr>
      <w:bookmarkStart w:id="24" w:name="intercepto"/>
      <w:r>
        <w:t xml:space="preserve">Intercepto</w:t>
      </w:r>
      <w:bookmarkEnd w:id="24"/>
    </w:p>
    <w:p>
      <w:pPr>
        <w:pStyle w:val="FirstParagraph"/>
      </w:pPr>
      <w:r>
        <w:t xml:space="preserve">Com os resultados da tabela acima, além das estimativas dos parâmetros, podemos avaliar a significância dos parâmetros por meio do teste</w:t>
      </w:r>
      <w:r>
        <w:t xml:space="preserve"> </w:t>
      </w:r>
      <m:oMath>
        <m:r>
          <m:t>t</m:t>
        </m:r>
      </m:oMath>
      <w:r>
        <w:t xml:space="preserve">. O valor t é calculado dividindo o valor do coeficiente pelo erro padrão. Em relação ao parâmetro intercepto, temos que as hipóteses são dadas por:</w:t>
      </w:r>
    </w:p>
    <w:p>
      <w:pPr>
        <w:pStyle w:val="BodyText"/>
      </w:pPr>
      <m:oMath>
        <m:sSub>
          <m:e>
            <m:r>
              <m:t>H</m:t>
            </m:r>
          </m:e>
          <m:sub>
            <m:r>
              <m:t>0</m:t>
            </m:r>
          </m:sub>
        </m:sSub>
      </m:oMath>
      <w:r>
        <w:t xml:space="preserve"> </w:t>
      </w:r>
      <w:r>
        <w:t xml:space="preserve">: Intercepto é igual a zero (</w:t>
      </w:r>
      <m:oMath>
        <m:sSub>
          <m:e>
            <m:r>
              <m:t>β</m:t>
            </m:r>
          </m:e>
          <m:sub>
            <m:r>
              <m:t>0</m:t>
            </m:r>
          </m:sub>
        </m:sSub>
        <m:r>
          <m:t>=</m:t>
        </m:r>
        <m:r>
          <m:t>0</m:t>
        </m:r>
      </m:oMath>
      <w:r>
        <w:t xml:space="preserve">)</w:t>
      </w:r>
    </w:p>
    <w:p>
      <w:pPr>
        <w:pStyle w:val="BodyText"/>
      </w:pPr>
      <m:oMath>
        <m:sSub>
          <m:e>
            <m:r>
              <m:t>H</m:t>
            </m:r>
          </m:e>
          <m:sub>
            <m:r>
              <m:t>1</m:t>
            </m:r>
          </m:sub>
        </m:sSub>
      </m:oMath>
      <w:r>
        <w:t xml:space="preserve"> </w:t>
      </w:r>
      <w:r>
        <w:t xml:space="preserve">: Intercepto é diferente de zero (</w:t>
      </w:r>
      <m:oMath>
        <m:sSub>
          <m:e>
            <m:r>
              <m:t>β</m:t>
            </m:r>
          </m:e>
          <m:sub>
            <m:r>
              <m:t>0</m:t>
            </m:r>
          </m:sub>
        </m:sSub>
        <m:r>
          <m:t>≠</m:t>
        </m:r>
        <m:r>
          <m:t>0</m:t>
        </m:r>
      </m:oMath>
      <w:r>
        <w:t xml:space="preserve">)</w:t>
      </w:r>
    </w:p>
    <w:p>
      <w:pPr>
        <w:pStyle w:val="BodyText"/>
      </w:pPr>
      <w:r>
        <w:t xml:space="preserve">O</w:t>
      </w:r>
      <w:r>
        <w:t xml:space="preserve"> </w:t>
      </w:r>
      <w:r>
        <w:rPr>
          <w:i/>
        </w:rPr>
        <w:t xml:space="preserve">valor</w:t>
      </w:r>
      <w:r>
        <w:t xml:space="preserve"> </w:t>
      </w:r>
      <m:oMath>
        <m:r>
          <m:t>t</m:t>
        </m:r>
      </m:oMath>
      <w:r>
        <w:t xml:space="preserve"> </w:t>
      </w:r>
      <w:r>
        <w:t xml:space="preserve">para o intercepto é dado por:</w:t>
      </w:r>
    </w:p>
    <w:p>
      <w:pPr>
        <w:pStyle w:val="BodyText"/>
      </w:pPr>
      <m:oMathPara>
        <m:oMathParaPr>
          <m:jc m:val="center"/>
        </m:oMathParaPr>
        <m:oMath>
          <m:r>
            <m:t>t</m:t>
          </m:r>
          <m:r>
            <m:t>=</m:t>
          </m:r>
          <m:f>
            <m:fPr>
              <m:type m:val="bar"/>
            </m:fPr>
            <m:num>
              <m:acc>
                <m:accPr>
                  <m:chr m:val="̂"/>
                </m:accPr>
                <m:e>
                  <m:sSub>
                    <m:e>
                      <m:r>
                        <m:t>β</m:t>
                      </m:r>
                    </m:e>
                    <m:sub>
                      <m:r>
                        <m:t>0</m:t>
                      </m:r>
                    </m:sub>
                  </m:sSub>
                </m:e>
              </m:acc>
            </m:num>
            <m:den>
              <m:rad>
                <m:radPr>
                  <m:degHide m:val="1"/>
                </m:radPr>
                <m:deg/>
                <m:e>
                  <m:r>
                    <m:t>V</m:t>
                  </m:r>
                  <m:r>
                    <m:t>a</m:t>
                  </m:r>
                  <m:r>
                    <m:t>r</m:t>
                  </m:r>
                  <m:r>
                    <m:t>(</m:t>
                  </m:r>
                  <m:acc>
                    <m:accPr>
                      <m:chr m:val="̂"/>
                    </m:accPr>
                    <m:e>
                      <m:sSub>
                        <m:e>
                          <m:r>
                            <m:t>β</m:t>
                          </m:r>
                        </m:e>
                        <m:sub>
                          <m:r>
                            <m:t>0</m:t>
                          </m:r>
                        </m:sub>
                      </m:sSub>
                    </m:e>
                  </m:acc>
                  <m:r>
                    <m:t>)</m:t>
                  </m:r>
                </m:e>
              </m:rad>
            </m:den>
          </m:f>
          <m:r>
            <m:t>=</m:t>
          </m:r>
          <m:f>
            <m:fPr>
              <m:type m:val="bar"/>
            </m:fPr>
            <m:num>
              <m:r>
                <m:t>−</m:t>
              </m:r>
              <m:r>
                <m:t>9442</m:t>
              </m:r>
              <m:r>
                <m:t>,</m:t>
              </m:r>
              <m:r>
                <m:t>9682</m:t>
              </m:r>
            </m:num>
            <m:den>
              <m:r>
                <m:t>10136</m:t>
              </m:r>
              <m:r>
                <m:t>,</m:t>
              </m:r>
              <m:r>
                <m:t>1715</m:t>
              </m:r>
            </m:den>
          </m:f>
          <m:r>
            <m:t>=</m:t>
          </m:r>
          <m:r>
            <m:t>−</m:t>
          </m:r>
          <m:r>
            <m:t>0</m:t>
          </m:r>
          <m:r>
            <m:t>,</m:t>
          </m:r>
          <m:r>
            <m:t>9316</m:t>
          </m:r>
        </m:oMath>
      </m:oMathPara>
    </w:p>
    <w:p>
      <w:pPr>
        <w:pStyle w:val="FirstParagraph"/>
      </w:pPr>
      <w:r>
        <w:t xml:space="preserve">no qual</w:t>
      </w:r>
      <w:r>
        <w:t xml:space="preserve"> </w:t>
      </w:r>
      <m:oMath>
        <m:rad>
          <m:radPr>
            <m:degHide m:val="1"/>
          </m:radPr>
          <m:deg/>
          <m:e>
            <m:r>
              <m:t>V</m:t>
            </m:r>
            <m:r>
              <m:t>a</m:t>
            </m:r>
            <m:r>
              <m:t>r</m:t>
            </m:r>
            <m:r>
              <m:t>(</m:t>
            </m:r>
            <m:acc>
              <m:accPr>
                <m:chr m:val="̂"/>
              </m:accPr>
              <m:e>
                <m:sSub>
                  <m:e>
                    <m:r>
                      <m:t>β</m:t>
                    </m:r>
                  </m:e>
                  <m:sub>
                    <m:r>
                      <m:t>0</m:t>
                    </m:r>
                  </m:sub>
                </m:sSub>
              </m:e>
            </m:acc>
            <m:r>
              <m:t>)</m:t>
            </m:r>
          </m:e>
        </m:rad>
      </m:oMath>
      <w:r>
        <w:t xml:space="preserve"> </w:t>
      </w:r>
      <w:r>
        <w:t xml:space="preserve">é o desvio padrão do intercepto dado nos resultados da tabela acima.</w:t>
      </w:r>
    </w:p>
    <w:p>
      <w:pPr>
        <w:pStyle w:val="BodyText"/>
      </w:pPr>
      <w:r>
        <w:t xml:space="preserve">O valor crítico da distribuição</w:t>
      </w:r>
      <w:r>
        <w:t xml:space="preserve"> </w:t>
      </w:r>
      <m:oMath>
        <m:r>
          <m:t>t</m:t>
        </m:r>
      </m:oMath>
      <w:r>
        <w:t xml:space="preserve"> </w:t>
      </w:r>
      <w:r>
        <w:t xml:space="preserve">ao nível de significância do 5% (</w:t>
      </w:r>
      <m:oMath>
        <m:r>
          <m:t>α</m:t>
        </m:r>
        <m:r>
          <m:t>=</m:t>
        </m:r>
        <m:r>
          <m:t>0</m:t>
        </m:r>
        <m:r>
          <m:t>,</m:t>
        </m:r>
        <m:r>
          <m:t>05</m:t>
        </m:r>
      </m:oMath>
      <w:r>
        <w:t xml:space="preserve">) e</w:t>
      </w:r>
      <w:r>
        <w:t xml:space="preserve"> </w:t>
      </w:r>
      <m:oMath>
        <m:r>
          <m:t>n</m:t>
        </m:r>
        <m:r>
          <m:t>−</m:t>
        </m:r>
        <m:r>
          <m:t>2</m:t>
        </m:r>
      </m:oMath>
      <w:r>
        <w:t xml:space="preserve"> </w:t>
      </w:r>
      <w:r>
        <w:t xml:space="preserve">graus de liberdade é dado por</w:t>
      </w:r>
      <w:r>
        <w:t xml:space="preserve"> </w:t>
      </w:r>
      <m:oMath>
        <m:sSub>
          <m:e>
            <m:r>
              <m:t>t</m:t>
            </m:r>
          </m:e>
          <m:sub>
            <m:r>
              <m:t>0</m:t>
            </m:r>
            <m:r>
              <m:t>,</m:t>
            </m:r>
            <m:r>
              <m:t>95</m:t>
            </m:r>
            <m:r>
              <m:t>,</m:t>
            </m:r>
            <m:r>
              <m:t>22</m:t>
            </m:r>
          </m:sub>
        </m:sSub>
        <m:r>
          <m:t>=</m:t>
        </m:r>
        <m:r>
          <m:t>1</m:t>
        </m:r>
        <m:r>
          <m:t>,</m:t>
        </m:r>
        <m:r>
          <m:t>7171</m:t>
        </m:r>
      </m:oMath>
      <w:r>
        <w:t xml:space="preserve">. Como o valor</w:t>
      </w:r>
      <w:r>
        <w:t xml:space="preserve"> </w:t>
      </w:r>
      <m:oMath>
        <m:r>
          <m:t>p</m:t>
        </m:r>
      </m:oMath>
      <w:r>
        <w:t xml:space="preserve"> </w:t>
      </w:r>
      <w:r>
        <w:t xml:space="preserve">associado a esse teste</w:t>
      </w:r>
      <w:r>
        <w:t xml:space="preserve"> </w:t>
      </w:r>
      <m:oMath>
        <m:r>
          <m:t>t</m:t>
        </m:r>
      </m:oMath>
      <w:r>
        <w:t xml:space="preserve"> </w:t>
      </w:r>
      <m:oMath>
        <m:r>
          <m:t>(</m:t>
        </m:r>
        <m:r>
          <m:t>2</m:t>
        </m:r>
        <m:r>
          <m:t>×</m:t>
        </m:r>
        <m:r>
          <m:t>P</m:t>
        </m:r>
        <m:r>
          <m:t>r</m:t>
        </m:r>
        <m:r>
          <m:t>(</m:t>
        </m:r>
        <m:sSub>
          <m:e>
            <m:r>
              <m:t>t</m:t>
            </m:r>
          </m:e>
          <m:sub>
            <m:r>
              <m:t>0</m:t>
            </m:r>
            <m:r>
              <m:t>,</m:t>
            </m:r>
            <m:r>
              <m:t>95</m:t>
            </m:r>
            <m:r>
              <m:t>,</m:t>
            </m:r>
            <m:r>
              <m:t>22</m:t>
            </m:r>
          </m:sub>
        </m:sSub>
        <m:r>
          <m:t>&gt;</m:t>
        </m:r>
        <m:r>
          <m:t>|</m:t>
        </m:r>
        <m:r>
          <m:t>t</m:t>
        </m:r>
        <m:r>
          <m:t>|</m:t>
        </m:r>
        <m:r>
          <m:t>)</m:t>
        </m:r>
        <m:r>
          <m:t>=</m:t>
        </m:r>
        <m:r>
          <m:t>0</m:t>
        </m:r>
        <m:r>
          <m:t>,</m:t>
        </m:r>
        <m:r>
          <m:t>3616</m:t>
        </m:r>
        <m:r>
          <m:t>)</m:t>
        </m:r>
      </m:oMath>
      <w:r>
        <w:t xml:space="preserve"> </w:t>
      </w:r>
      <w:r>
        <w:t xml:space="preserve">é maior que 0,05 aceitamos</w:t>
      </w:r>
      <w:r>
        <w:t xml:space="preserve"> </w:t>
      </w:r>
      <m:oMath>
        <m:sSub>
          <m:e>
            <m:r>
              <m:t>H</m:t>
            </m:r>
          </m:e>
          <m:sub>
            <m:r>
              <m:t>0</m:t>
            </m:r>
          </m:sub>
        </m:sSub>
      </m:oMath>
      <w:r>
        <w:t xml:space="preserve"> </w:t>
      </w:r>
      <w:r>
        <w:t xml:space="preserve">e concluimos que o intercepto é significativamente igual a zero ao nível de significância do 5%</w:t>
      </w:r>
    </w:p>
    <w:p>
      <w:pPr>
        <w:pStyle w:val="Heading3"/>
      </w:pPr>
      <w:bookmarkStart w:id="25" w:name="coeficiente-angular"/>
      <w:r>
        <w:t xml:space="preserve">Coeficiente angular</w:t>
      </w:r>
      <w:bookmarkEnd w:id="25"/>
    </w:p>
    <w:p>
      <w:pPr>
        <w:pStyle w:val="FirstParagraph"/>
      </w:pPr>
      <w:r>
        <w:t xml:space="preserve">Em relação ao coeficiente angular, temos que as hipóteses são:</w:t>
      </w:r>
    </w:p>
    <w:p>
      <w:pPr>
        <w:pStyle w:val="BodyText"/>
      </w:pPr>
      <m:oMath>
        <m:sSub>
          <m:e>
            <m:r>
              <m:t>H</m:t>
            </m:r>
          </m:e>
          <m:sub>
            <m:r>
              <m:t>0</m:t>
            </m:r>
          </m:sub>
        </m:sSub>
      </m:oMath>
      <w:r>
        <w:t xml:space="preserve"> </w:t>
      </w:r>
      <w:r>
        <w:t xml:space="preserve">: Coeficiente angular é igual a zero (</w:t>
      </w:r>
      <m:oMath>
        <m:sSub>
          <m:e>
            <m:r>
              <m:t>β</m:t>
            </m:r>
          </m:e>
          <m:sub>
            <m:r>
              <m:t>1</m:t>
            </m:r>
          </m:sub>
        </m:sSub>
        <m:r>
          <m:t>=</m:t>
        </m:r>
        <m:r>
          <m:t>0</m:t>
        </m:r>
      </m:oMath>
      <w:r>
        <w:t xml:space="preserve">)</w:t>
      </w:r>
    </w:p>
    <w:p>
      <w:pPr>
        <w:pStyle w:val="BodyText"/>
      </w:pPr>
      <m:oMath>
        <m:sSub>
          <m:e>
            <m:r>
              <m:t>H</m:t>
            </m:r>
          </m:e>
          <m:sub>
            <m:r>
              <m:t>1</m:t>
            </m:r>
          </m:sub>
        </m:sSub>
      </m:oMath>
      <w:r>
        <w:t xml:space="preserve"> </w:t>
      </w:r>
      <w:r>
        <w:t xml:space="preserve">: Coeficiente angular é diferente de zero (</w:t>
      </w:r>
      <m:oMath>
        <m:sSub>
          <m:e>
            <m:r>
              <m:t>β</m:t>
            </m:r>
          </m:e>
          <m:sub>
            <m:r>
              <m:t>1</m:t>
            </m:r>
          </m:sub>
        </m:sSub>
        <m:r>
          <m:t>≠</m:t>
        </m:r>
        <m:r>
          <m:t>0</m:t>
        </m:r>
      </m:oMath>
      <w:r>
        <w:t xml:space="preserve">)</w:t>
      </w:r>
    </w:p>
    <w:p>
      <w:pPr>
        <w:pStyle w:val="BodyText"/>
      </w:pPr>
      <w:r>
        <w:t xml:space="preserve">O estatístico T do teste é dado por:</w:t>
      </w:r>
    </w:p>
    <w:p>
      <w:pPr>
        <w:pStyle w:val="BodyText"/>
      </w:pPr>
      <m:oMathPara>
        <m:oMathParaPr>
          <m:jc m:val="center"/>
        </m:oMathParaPr>
        <m:oMath>
          <m:r>
            <m:t>T</m:t>
          </m:r>
          <m:r>
            <m:t>=</m:t>
          </m:r>
          <m:f>
            <m:fPr>
              <m:type m:val="bar"/>
            </m:fPr>
            <m:num>
              <m:acc>
                <m:accPr>
                  <m:chr m:val="̂"/>
                </m:accPr>
                <m:e>
                  <m:sSub>
                    <m:e>
                      <m:r>
                        <m:t>β</m:t>
                      </m:r>
                    </m:e>
                    <m:sub>
                      <m:r>
                        <m:t>1</m:t>
                      </m:r>
                    </m:sub>
                  </m:sSub>
                </m:e>
              </m:acc>
            </m:num>
            <m:den>
              <m:rad>
                <m:radPr>
                  <m:degHide m:val="1"/>
                </m:radPr>
                <m:deg/>
                <m:e>
                  <m:r>
                    <m:t>V</m:t>
                  </m:r>
                  <m:r>
                    <m:t>a</m:t>
                  </m:r>
                  <m:r>
                    <m:t>r</m:t>
                  </m:r>
                  <m:r>
                    <m:t>(</m:t>
                  </m:r>
                  <m:acc>
                    <m:accPr>
                      <m:chr m:val="̂"/>
                    </m:accPr>
                    <m:e>
                      <m:sSub>
                        <m:e>
                          <m:r>
                            <m:t>β</m:t>
                          </m:r>
                        </m:e>
                        <m:sub>
                          <m:r>
                            <m:t>1</m:t>
                          </m:r>
                        </m:sub>
                      </m:sSub>
                    </m:e>
                  </m:acc>
                  <m:r>
                    <m:t>)</m:t>
                  </m:r>
                </m:e>
              </m:rad>
            </m:den>
          </m:f>
          <m:r>
            <m:t>=</m:t>
          </m:r>
          <m:f>
            <m:fPr>
              <m:type m:val="bar"/>
            </m:fPr>
            <m:num>
              <m:r>
                <m:t>48402</m:t>
              </m:r>
              <m:r>
                <m:t>,</m:t>
              </m:r>
              <m:r>
                <m:t>5767</m:t>
              </m:r>
            </m:num>
            <m:den>
              <m:r>
                <m:t>1206</m:t>
              </m:r>
              <m:r>
                <m:t>,</m:t>
              </m:r>
              <m:r>
                <m:t>3004</m:t>
              </m:r>
            </m:den>
          </m:f>
          <m:r>
            <m:t>=</m:t>
          </m:r>
          <m:r>
            <m:t>40</m:t>
          </m:r>
          <m:r>
            <m:t>,</m:t>
          </m:r>
          <m:r>
            <m:t>1248</m:t>
          </m:r>
        </m:oMath>
      </m:oMathPara>
    </w:p>
    <w:p>
      <w:pPr>
        <w:pStyle w:val="FirstParagraph"/>
      </w:pPr>
      <w:r>
        <w:t xml:space="preserve">O valor crítico da distribuição</w:t>
      </w:r>
      <w:r>
        <w:t xml:space="preserve"> </w:t>
      </w:r>
      <m:oMath>
        <m:r>
          <m:t>t</m:t>
        </m:r>
      </m:oMath>
      <w:r>
        <w:t xml:space="preserve"> </w:t>
      </w:r>
      <w:r>
        <w:t xml:space="preserve">ao nível de significância do 5% (</w:t>
      </w:r>
      <m:oMath>
        <m:r>
          <m:t>α</m:t>
        </m:r>
        <m:r>
          <m:t>=</m:t>
        </m:r>
        <m:r>
          <m:t>0</m:t>
        </m:r>
        <m:r>
          <m:t>,</m:t>
        </m:r>
        <m:r>
          <m:t>05</m:t>
        </m:r>
      </m:oMath>
      <w:r>
        <w:t xml:space="preserve">) e</w:t>
      </w:r>
      <w:r>
        <w:t xml:space="preserve"> </w:t>
      </w:r>
      <m:oMath>
        <m:r>
          <m:t>n</m:t>
        </m:r>
        <m:r>
          <m:t>−</m:t>
        </m:r>
        <m:r>
          <m:t>2</m:t>
        </m:r>
      </m:oMath>
      <w:r>
        <w:t xml:space="preserve"> </w:t>
      </w:r>
      <w:r>
        <w:t xml:space="preserve">graus de liberdade é dado por</w:t>
      </w:r>
      <w:r>
        <w:t xml:space="preserve"> </w:t>
      </w:r>
      <m:oMath>
        <m:sSub>
          <m:e>
            <m:r>
              <m:t>t</m:t>
            </m:r>
          </m:e>
          <m:sub>
            <m:r>
              <m:t>0</m:t>
            </m:r>
            <m:r>
              <m:t>,</m:t>
            </m:r>
            <m:r>
              <m:t>95</m:t>
            </m:r>
            <m:r>
              <m:t>,</m:t>
            </m:r>
            <m:r>
              <m:t>22</m:t>
            </m:r>
          </m:sub>
        </m:sSub>
        <m:r>
          <m:t>=</m:t>
        </m:r>
        <m:r>
          <m:t>1</m:t>
        </m:r>
        <m:r>
          <m:t>,</m:t>
        </m:r>
        <m:r>
          <m:t>7171</m:t>
        </m:r>
      </m:oMath>
      <w:r>
        <w:t xml:space="preserve">. Como o valor</w:t>
      </w:r>
      <w:r>
        <w:t xml:space="preserve"> </w:t>
      </w:r>
      <m:oMath>
        <m:r>
          <m:t>p</m:t>
        </m:r>
      </m:oMath>
      <w:r>
        <w:t xml:space="preserve"> </w:t>
      </w:r>
      <w:r>
        <w:t xml:space="preserve">associado a esse teste</w:t>
      </w:r>
      <w:r>
        <w:t xml:space="preserve"> </w:t>
      </w:r>
      <m:oMath>
        <m:r>
          <m:t>t</m:t>
        </m:r>
      </m:oMath>
      <w:r>
        <w:t xml:space="preserve"> </w:t>
      </w:r>
      <w:r>
        <w:t xml:space="preserve">(</w:t>
      </w:r>
      <m:oMath>
        <m:r>
          <m:t>2</m:t>
        </m:r>
        <m:r>
          <m:t>×</m:t>
        </m:r>
        <m:r>
          <m:t>P</m:t>
        </m:r>
        <m:r>
          <m:t>r</m:t>
        </m:r>
        <m:r>
          <m:t>(</m:t>
        </m:r>
        <m:sSub>
          <m:e>
            <m:r>
              <m:t>t</m:t>
            </m:r>
          </m:e>
          <m:sub>
            <m:r>
              <m:t>0</m:t>
            </m:r>
            <m:r>
              <m:t>,</m:t>
            </m:r>
            <m:r>
              <m:t>95</m:t>
            </m:r>
            <m:r>
              <m:t>,</m:t>
            </m:r>
            <m:r>
              <m:t>22</m:t>
            </m:r>
          </m:sub>
        </m:sSub>
        <m:r>
          <m:t>&gt;</m:t>
        </m:r>
        <m:r>
          <m:t>|</m:t>
        </m:r>
        <m:r>
          <m:t>t</m:t>
        </m:r>
        <m:r>
          <m:t>|</m:t>
        </m:r>
        <m:r>
          <m:t>)</m:t>
        </m:r>
        <m:r>
          <m:t>=</m:t>
        </m:r>
        <m:r>
          <m:t>4</m:t>
        </m:r>
        <m:r>
          <m:t>,</m:t>
        </m:r>
        <m:r>
          <m:t>5209</m:t>
        </m:r>
        <m:r>
          <m:t>×</m:t>
        </m:r>
        <m:sSup>
          <m:e>
            <m:r>
              <m:t>10</m:t>
            </m:r>
          </m:e>
          <m:sup>
            <m:r>
              <m:t>−</m:t>
            </m:r>
            <m:r>
              <m:t>22</m:t>
            </m:r>
          </m:sup>
        </m:sSup>
      </m:oMath>
      <w:r>
        <w:t xml:space="preserve">) é menor que 0,05 rejeitamos</w:t>
      </w:r>
      <w:r>
        <w:t xml:space="preserve"> </w:t>
      </w:r>
      <m:oMath>
        <m:sSub>
          <m:e>
            <m:r>
              <m:t>H</m:t>
            </m:r>
          </m:e>
          <m:sub>
            <m:r>
              <m:t>0</m:t>
            </m:r>
          </m:sub>
        </m:sSub>
      </m:oMath>
      <w:r>
        <w:t xml:space="preserve"> </w:t>
      </w:r>
      <w:r>
        <w:t xml:space="preserve">e concluimos que o coeficiente angular é significativamente diferente de zero ao nível de significância do 5%</w:t>
      </w:r>
    </w:p>
    <w:p>
      <w:pPr>
        <w:pStyle w:val="Heading3"/>
      </w:pPr>
      <w:bookmarkStart w:id="26" w:name="Xcf5a2f14dcd218ea3200be6201694086b286da8"/>
      <w:r>
        <w:t xml:space="preserve">Anova no método dos mínimos quadrados ordinários (MMQO)</w:t>
      </w:r>
      <w:bookmarkEnd w:id="26"/>
    </w:p>
    <w:p>
      <w:pPr>
        <w:pStyle w:val="FirstParagraph"/>
      </w:pPr>
      <w:r>
        <w:t xml:space="preserve">Avaliamos também a significância do modelo por meio do teste F da ANOVA. Vale ressaltar que temos um modelo de regressão simples, desta forma o teste F da ANOVA é equivalente ao teste</w:t>
      </w:r>
      <w:r>
        <w:t xml:space="preserve"> </w:t>
      </w:r>
      <m:oMath>
        <m:r>
          <m:t>t</m:t>
        </m:r>
      </m:oMath>
      <w:r>
        <w:t xml:space="preserve">. A seguir, temos a Tabela da ANOVA.</w:t>
      </w:r>
    </w:p>
    <w:p>
      <w:pPr>
        <w:pStyle w:val="TableCaption"/>
      </w:pPr>
      <w:r>
        <w:t xml:space="preserve">Tabela de anova</w:t>
      </w:r>
    </w:p>
    <w:tbl>
      <w:tblPr>
        <w:tblStyle w:val="Table"/>
        <w:tblW w:type="pct" w:w="0.0"/>
        <w:tblLook w:firstRow="1"/>
        <w:tblCaption w:val="Tabela de anov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Graus de liberdade</w:t>
            </w:r>
          </w:p>
        </w:tc>
        <w:tc>
          <w:tcPr>
            <w:tcBorders>
              <w:bottom w:val="single"/>
            </w:tcBorders>
            <w:vAlign w:val="bottom"/>
          </w:tcPr>
          <w:p>
            <w:pPr>
              <w:pStyle w:val="Compact"/>
              <w:jc w:val="center"/>
            </w:pPr>
            <w:r>
              <w:t xml:space="preserve">Soma dos quadrados</w:t>
            </w:r>
          </w:p>
        </w:tc>
        <w:tc>
          <w:tcPr>
            <w:tcBorders>
              <w:bottom w:val="single"/>
            </w:tcBorders>
            <w:vAlign w:val="bottom"/>
          </w:tcPr>
          <w:p>
            <w:pPr>
              <w:pStyle w:val="Compact"/>
              <w:jc w:val="center"/>
            </w:pPr>
            <w:r>
              <w:t xml:space="preserve">Quadrado médio</w:t>
            </w:r>
          </w:p>
        </w:tc>
        <w:tc>
          <w:tcPr>
            <w:tcBorders>
              <w:bottom w:val="single"/>
            </w:tcBorders>
            <w:vAlign w:val="bottom"/>
          </w:tcPr>
          <w:p>
            <w:pPr>
              <w:pStyle w:val="Compact"/>
              <w:jc w:val="center"/>
            </w:pPr>
            <w:r>
              <w:t xml:space="preserve">valor-F</w:t>
            </w:r>
          </w:p>
        </w:tc>
        <w:tc>
          <w:tcPr>
            <w:tcBorders>
              <w:bottom w:val="single"/>
            </w:tcBorders>
            <w:vAlign w:val="bottom"/>
          </w:tcPr>
          <w:p>
            <w:pPr>
              <w:pStyle w:val="Compact"/>
              <w:jc w:val="center"/>
            </w:pPr>
            <w:r>
              <w:t xml:space="preserve">Pr(&gt;F)</w:t>
            </w:r>
          </w:p>
        </w:tc>
      </w:tr>
      <w:tr>
        <w:tc>
          <w:p>
            <w:pPr>
              <w:pStyle w:val="Compact"/>
              <w:jc w:val="left"/>
            </w:pPr>
            <w:r>
              <w:t xml:space="preserve">Concentração</w:t>
            </w:r>
          </w:p>
        </w:tc>
        <w:tc>
          <w:p>
            <w:pPr>
              <w:pStyle w:val="Compact"/>
              <w:jc w:val="center"/>
            </w:pPr>
            <w:r>
              <w:t xml:space="preserve">1</w:t>
            </w:r>
          </w:p>
        </w:tc>
        <w:tc>
          <w:p>
            <w:pPr>
              <w:pStyle w:val="Compact"/>
              <w:jc w:val="center"/>
            </w:pPr>
            <w:r>
              <w:t xml:space="preserve">599694955424</w:t>
            </w:r>
          </w:p>
        </w:tc>
        <w:tc>
          <w:p>
            <w:pPr>
              <w:pStyle w:val="Compact"/>
              <w:jc w:val="center"/>
            </w:pPr>
            <w:r>
              <w:t xml:space="preserve">599694955424</w:t>
            </w:r>
          </w:p>
        </w:tc>
        <w:tc>
          <w:p>
            <w:pPr>
              <w:pStyle w:val="Compact"/>
              <w:jc w:val="center"/>
            </w:pPr>
            <w:r>
              <w:t xml:space="preserve">1610</w:t>
            </w:r>
          </w:p>
        </w:tc>
        <w:tc>
          <w:p>
            <w:pPr>
              <w:pStyle w:val="Compact"/>
              <w:jc w:val="center"/>
            </w:pPr>
            <w:r>
              <w:t xml:space="preserve">0</w:t>
            </w:r>
          </w:p>
        </w:tc>
      </w:tr>
      <w:tr>
        <w:tc>
          <w:p>
            <w:pPr>
              <w:pStyle w:val="Compact"/>
              <w:jc w:val="left"/>
            </w:pPr>
            <w:r>
              <w:t xml:space="preserve">Resíduos</w:t>
            </w:r>
          </w:p>
        </w:tc>
        <w:tc>
          <w:p>
            <w:pPr>
              <w:pStyle w:val="Compact"/>
              <w:jc w:val="center"/>
            </w:pPr>
            <w:r>
              <w:t xml:space="preserve">22</w:t>
            </w:r>
          </w:p>
        </w:tc>
        <w:tc>
          <w:p>
            <w:pPr>
              <w:pStyle w:val="Compact"/>
              <w:jc w:val="center"/>
            </w:pPr>
            <w:r>
              <w:t xml:space="preserve">8194586069</w:t>
            </w:r>
          </w:p>
        </w:tc>
        <w:tc>
          <w:p>
            <w:pPr>
              <w:pStyle w:val="Compact"/>
              <w:jc w:val="center"/>
            </w:pPr>
            <w:r>
              <w:t xml:space="preserve">372481185</w:t>
            </w:r>
          </w:p>
        </w:tc>
        <w:tc>
          <w:p>
            <w:pPr>
              <w:pStyle w:val="Compact"/>
              <w:jc w:val="center"/>
            </w:pPr>
            <w:r>
              <w:t xml:space="preserve">NA</w:t>
            </w:r>
          </w:p>
        </w:tc>
        <w:tc>
          <w:p>
            <w:pPr>
              <w:pStyle w:val="Compact"/>
              <w:jc w:val="center"/>
            </w:pPr>
            <w:r>
              <w:t xml:space="preserve">NA</w:t>
            </w:r>
          </w:p>
        </w:tc>
      </w:tr>
    </w:tbl>
    <w:p>
      <w:pPr>
        <w:pStyle w:val="BodyText"/>
      </w:pPr>
      <w:r>
        <w:t xml:space="preserve">Para testarmos a significância do coeficiente angular do modelo com o teste F da ANOVA, apresentamos as seguintes hipóteses:</w:t>
      </w:r>
    </w:p>
    <w:p>
      <w:pPr>
        <w:pStyle w:val="BodyText"/>
      </w:pPr>
      <m:oMath>
        <m:sSub>
          <m:e>
            <m:r>
              <m:t>H</m:t>
            </m:r>
          </m:e>
          <m:sub>
            <m:r>
              <m:t>0</m:t>
            </m:r>
          </m:sub>
        </m:sSub>
      </m:oMath>
      <w:r>
        <w:t xml:space="preserve"> </w:t>
      </w:r>
      <w:r>
        <w:t xml:space="preserve">: Coeficiente angular é igual a zero.</w:t>
      </w:r>
    </w:p>
    <w:p>
      <w:pPr>
        <w:pStyle w:val="BodyText"/>
      </w:pPr>
      <m:oMath>
        <m:sSub>
          <m:e>
            <m:r>
              <m:t>H</m:t>
            </m:r>
          </m:e>
          <m:sub>
            <m:r>
              <m:t>1</m:t>
            </m:r>
          </m:sub>
        </m:sSub>
      </m:oMath>
      <w:r>
        <w:t xml:space="preserve"> </w:t>
      </w:r>
      <w:r>
        <w:t xml:space="preserve">: Coeficiente angular é diferente de zero.</w:t>
      </w:r>
    </w:p>
    <w:p>
      <w:pPr>
        <w:pStyle w:val="BodyText"/>
      </w:pPr>
      <w:r>
        <w:t xml:space="preserve">A estatística de teste é dada pela divisão do quadrado médio da regressão (QMR) pelo quadrado médio dos resíduos ou erros (QME):</w:t>
      </w:r>
    </w:p>
    <w:p>
      <w:pPr>
        <w:pStyle w:val="BodyText"/>
      </w:pPr>
      <m:oMathPara>
        <m:oMathParaPr>
          <m:jc m:val="center"/>
        </m:oMathParaPr>
        <m:oMath>
          <m:m>
            <m:mPr>
              <m:baseJc m:val="center"/>
              <m:plcHide m:val="1"/>
              <m:mcs>
                <m:mc>
                  <m:mcPr>
                    <m:mcJc m:val="right"/>
                    <m:count m:val="1"/>
                  </m:mcPr>
                </m:mc>
              </m:mcs>
            </m:mPr>
            <m:mr>
              <m:e>
                <m:sSub>
                  <m:e>
                    <m:r>
                      <m:t>F</m:t>
                    </m:r>
                  </m:e>
                  <m:sub>
                    <m:r>
                      <m:t>O</m:t>
                    </m:r>
                    <m:r>
                      <m:t>B</m:t>
                    </m:r>
                    <m:r>
                      <m:t>S</m:t>
                    </m:r>
                  </m:sub>
                </m:sSub>
                <m:r>
                  <m:t>=</m:t>
                </m:r>
                <m:f>
                  <m:fPr>
                    <m:type m:val="bar"/>
                  </m:fPr>
                  <m:num>
                    <m:r>
                      <m:t>Q</m:t>
                    </m:r>
                    <m:r>
                      <m:t>M</m:t>
                    </m:r>
                    <m:r>
                      <m:t>R</m:t>
                    </m:r>
                  </m:num>
                  <m:den>
                    <m:r>
                      <m:t>Q</m:t>
                    </m:r>
                    <m:r>
                      <m:t>M</m:t>
                    </m:r>
                    <m:r>
                      <m:t>E</m:t>
                    </m:r>
                  </m:den>
                </m:f>
                <m:r>
                  <m:t>=</m:t>
                </m:r>
                <m:f>
                  <m:fPr>
                    <m:type m:val="bar"/>
                  </m:fPr>
                  <m:num>
                    <m:f>
                      <m:fPr>
                        <m:type m:val="bar"/>
                      </m:fPr>
                      <m:num>
                        <m:r>
                          <m:t>S</m:t>
                        </m:r>
                        <m:r>
                          <m:t>Q</m:t>
                        </m:r>
                        <m:r>
                          <m:t>R</m:t>
                        </m:r>
                      </m:num>
                      <m:den>
                        <m:r>
                          <m:t>p</m:t>
                        </m:r>
                        <m:r>
                          <m:t>−</m:t>
                        </m:r>
                        <m:r>
                          <m:t>1</m:t>
                        </m:r>
                      </m:den>
                    </m:f>
                  </m:num>
                  <m:den>
                    <m:f>
                      <m:fPr>
                        <m:type m:val="bar"/>
                      </m:fPr>
                      <m:num>
                        <m:r>
                          <m:t>S</m:t>
                        </m:r>
                        <m:r>
                          <m:t>Q</m:t>
                        </m:r>
                        <m:r>
                          <m:t>E</m:t>
                        </m:r>
                      </m:num>
                      <m:den>
                        <m:r>
                          <m:t>n</m:t>
                        </m:r>
                        <m:r>
                          <m:t>−</m:t>
                        </m:r>
                        <m:r>
                          <m:t>p</m:t>
                        </m:r>
                      </m:den>
                    </m:f>
                  </m:den>
                </m:f>
                <m:r>
                  <m:t>=</m:t>
                </m:r>
                <m:f>
                  <m:fPr>
                    <m:type m:val="bar"/>
                  </m:fPr>
                  <m:num>
                    <m:f>
                      <m:fPr>
                        <m:type m:val="bar"/>
                      </m:fPr>
                      <m:num>
                        <m:nary>
                          <m:naryPr>
                            <m:chr m:val="∑"/>
                            <m:limLoc m:val="undOvr"/>
                            <m:subHide m:val="0"/>
                            <m:supHide m:val="0"/>
                          </m:naryPr>
                          <m:sub>
                            <m:r>
                              <m:t>i</m:t>
                            </m:r>
                            <m:r>
                              <m:t>=</m:t>
                            </m:r>
                            <m:r>
                              <m:t>1</m:t>
                            </m:r>
                          </m:sub>
                          <m:sup>
                            <m:r>
                              <m:t>n</m:t>
                            </m:r>
                          </m:sup>
                          <m:e>
                            <m:r>
                              <m:t>(</m:t>
                            </m:r>
                          </m:e>
                        </m:nary>
                        <m:acc>
                          <m:accPr>
                            <m:chr m:val="̂"/>
                          </m:accPr>
                          <m:e>
                            <m:sSub>
                              <m:e>
                                <m:r>
                                  <m:t>y</m:t>
                                </m:r>
                              </m:e>
                              <m:sub>
                                <m:r>
                                  <m:t>i</m:t>
                                </m:r>
                              </m:sub>
                            </m:sSub>
                          </m:e>
                        </m:acc>
                        <m:r>
                          <m:t>−</m:t>
                        </m:r>
                        <m:bar>
                          <m:barPr>
                            <m:pos m:val="top"/>
                          </m:barPr>
                          <m:e>
                            <m:r>
                              <m:t>y</m:t>
                            </m:r>
                          </m:e>
                        </m:bar>
                        <m:sSup>
                          <m:e>
                            <m:r>
                              <m:t>)</m:t>
                            </m:r>
                          </m:e>
                          <m:sup>
                            <m:r>
                              <m:t>2</m:t>
                            </m:r>
                          </m:sup>
                        </m:sSup>
                      </m:num>
                      <m:den>
                        <m:r>
                          <m:t>p</m:t>
                        </m:r>
                        <m:r>
                          <m:t>−</m:t>
                        </m:r>
                        <m:r>
                          <m:t>1</m:t>
                        </m:r>
                      </m:den>
                    </m:f>
                  </m:num>
                  <m:den>
                    <m:f>
                      <m:fPr>
                        <m:type m:val="bar"/>
                      </m:fPr>
                      <m:num>
                        <m:nary>
                          <m:naryPr>
                            <m:chr m:val="∑"/>
                            <m:limLoc m:val="undOvr"/>
                            <m:subHide m:val="0"/>
                            <m:supHide m:val="0"/>
                          </m:naryPr>
                          <m:sub>
                            <m:r>
                              <m:t>i</m:t>
                            </m:r>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num>
                      <m:den>
                        <m:r>
                          <m:t>n</m:t>
                        </m:r>
                        <m:r>
                          <m:t>−</m:t>
                        </m:r>
                        <m:r>
                          <m:t>p</m:t>
                        </m:r>
                      </m:den>
                    </m:f>
                  </m:den>
                </m:f>
              </m:e>
            </m:mr>
            <m:mr>
              <m:e>
                <m:sSub>
                  <m:e>
                    <m:r>
                      <m:t>F</m:t>
                    </m:r>
                  </m:e>
                  <m:sub>
                    <m:r>
                      <m:t>O</m:t>
                    </m:r>
                    <m:r>
                      <m:t>B</m:t>
                    </m:r>
                    <m:r>
                      <m:t>S</m:t>
                    </m:r>
                  </m:sub>
                </m:sSub>
                <m:r>
                  <m:t>=</m:t>
                </m:r>
                <m:f>
                  <m:fPr>
                    <m:type m:val="bar"/>
                  </m:fPr>
                  <m:num>
                    <m:f>
                      <m:fPr>
                        <m:type m:val="bar"/>
                      </m:fPr>
                      <m:num>
                        <m:r>
                          <m:t>5</m:t>
                        </m:r>
                        <m:r>
                          <m:t>,</m:t>
                        </m:r>
                        <m:r>
                          <m:t>9969</m:t>
                        </m:r>
                        <m:r>
                          <m:t>×</m:t>
                        </m:r>
                        <m:sSup>
                          <m:e>
                            <m:r>
                              <m:t>10</m:t>
                            </m:r>
                          </m:e>
                          <m:sup>
                            <m:r>
                              <m:t>11</m:t>
                            </m:r>
                          </m:sup>
                        </m:sSup>
                      </m:num>
                      <m:den>
                        <m:r>
                          <m:t>1</m:t>
                        </m:r>
                      </m:den>
                    </m:f>
                  </m:num>
                  <m:den>
                    <m:f>
                      <m:fPr>
                        <m:type m:val="bar"/>
                      </m:fPr>
                      <m:num>
                        <m:r>
                          <m:t>8194586069</m:t>
                        </m:r>
                        <m:r>
                          <m:t>,</m:t>
                        </m:r>
                        <m:r>
                          <m:t>4757</m:t>
                        </m:r>
                      </m:num>
                      <m:den>
                        <m:r>
                          <m:t>22</m:t>
                        </m:r>
                      </m:den>
                    </m:f>
                  </m:den>
                </m:f>
                <m:r>
                  <m:t>=</m:t>
                </m:r>
                <m:r>
                  <m:t>1610</m:t>
                </m:r>
                <m:r>
                  <m:t>,</m:t>
                </m:r>
                <m:r>
                  <m:t>0007</m:t>
                </m:r>
              </m:e>
            </m:mr>
          </m:m>
        </m:oMath>
      </m:oMathPara>
    </w:p>
    <w:p>
      <w:pPr>
        <w:pStyle w:val="FirstParagraph"/>
      </w:pPr>
      <w:r>
        <w:t xml:space="preserve">Onde</w:t>
      </w:r>
      <w:r>
        <w:t xml:space="preserve"> </w:t>
      </w:r>
      <m:oMath>
        <m:r>
          <m:t>S</m:t>
        </m:r>
        <m:r>
          <m:t>Q</m:t>
        </m:r>
        <m:r>
          <m:t>R</m:t>
        </m:r>
      </m:oMath>
      <w:r>
        <w:t xml:space="preserve"> </w:t>
      </w:r>
      <w:r>
        <w:t xml:space="preserve">é a soma dos quadrados da regressão,</w:t>
      </w:r>
      <w:r>
        <w:t xml:space="preserve"> </w:t>
      </w:r>
      <m:oMath>
        <m:r>
          <m:t>S</m:t>
        </m:r>
        <m:r>
          <m:t>Q</m:t>
        </m:r>
        <m:r>
          <m:t>E</m:t>
        </m:r>
      </m:oMath>
      <w:r>
        <w:t xml:space="preserve"> </w:t>
      </w:r>
      <w:r>
        <w:t xml:space="preserve">é a soma dos quadrados dos erros ou resíduos,</w:t>
      </w:r>
      <w:r>
        <w:t xml:space="preserve"> </w:t>
      </w:r>
      <m:oMath>
        <m:r>
          <m:t>p</m:t>
        </m:r>
      </m:oMath>
      <w:r>
        <w:t xml:space="preserve"> </w:t>
      </w:r>
      <w:r>
        <w:t xml:space="preserve">é o número de parâmetros do modelo,</w:t>
      </w:r>
      <w:r>
        <w:t xml:space="preserve"> </w:t>
      </w:r>
      <m:oMath>
        <m:r>
          <m:t>n</m:t>
        </m:r>
      </m:oMath>
      <w:r>
        <w:t xml:space="preserve"> </w:t>
      </w:r>
      <w:r>
        <w:t xml:space="preserve">é o número total de pontos,</w:t>
      </w:r>
      <w:r>
        <w:t xml:space="preserve"> </w:t>
      </w:r>
      <m:oMath>
        <m:bar>
          <m:barPr>
            <m:pos m:val="top"/>
          </m:barPr>
          <m:e>
            <m:r>
              <m:t>y</m:t>
            </m:r>
          </m:e>
        </m:bar>
      </m:oMath>
      <w:r>
        <w:t xml:space="preserve"> </w:t>
      </w:r>
      <w:r>
        <w:t xml:space="preserve">é a média aritmética dos valores de y no centroide,</w:t>
      </w:r>
      <w:r>
        <w:t xml:space="preserve"> </w:t>
      </w:r>
      <m:oMath>
        <m:sSub>
          <m:e>
            <m:r>
              <m:t>y</m:t>
            </m:r>
          </m:e>
          <m:sub>
            <m:r>
              <m:t>i</m:t>
            </m:r>
          </m:sub>
        </m:sSub>
      </m:oMath>
      <w:r>
        <w:t xml:space="preserve"> </w:t>
      </w:r>
      <w:r>
        <w:t xml:space="preserve">é um valor individual de y obtido experimentalmente em um determinado ponto (iésimo ponto) e</w:t>
      </w:r>
      <w:r>
        <w:t xml:space="preserve"> </w:t>
      </w:r>
      <m:oMath>
        <m:acc>
          <m:accPr>
            <m:chr m:val="̂"/>
          </m:accPr>
          <m:e>
            <m:sSub>
              <m:e>
                <m:r>
                  <m:t>y</m:t>
                </m:r>
              </m:e>
              <m:sub>
                <m:r>
                  <m:t>i</m:t>
                </m:r>
              </m:sub>
            </m:sSub>
          </m:e>
        </m:acc>
      </m:oMath>
      <w:r>
        <w:t xml:space="preserve"> </w:t>
      </w:r>
      <w:r>
        <w:t xml:space="preserve">é um valor individual de y calculado pelo modelo (equação) em um determinado ponto (i-ésimo ponto).</w:t>
      </w:r>
    </w:p>
    <w:p>
      <w:pPr>
        <w:pStyle w:val="BodyText"/>
      </w:pPr>
      <w:r>
        <w:t xml:space="preserve">A região crítica para o teste F é dada por</w:t>
      </w:r>
      <w:r>
        <w:t xml:space="preserve"> </w:t>
      </w:r>
      <m:oMath>
        <m:sSub>
          <m:e>
            <m:r>
              <m:t>F</m:t>
            </m:r>
          </m:e>
          <m:sub>
            <m:r>
              <m:t>α</m:t>
            </m:r>
            <m:r>
              <m:t>,</m:t>
            </m:r>
            <m:r>
              <m:t>p</m:t>
            </m:r>
            <m:r>
              <m:t>−</m:t>
            </m:r>
            <m:r>
              <m:t>1</m:t>
            </m:r>
            <m:r>
              <m:t>,</m:t>
            </m:r>
            <m:r>
              <m:t>n</m:t>
            </m:r>
            <m:r>
              <m:t>−</m:t>
            </m:r>
            <m:r>
              <m:t>p</m:t>
            </m:r>
          </m:sub>
        </m:sSub>
        <m:r>
          <m:t>=</m:t>
        </m:r>
        <m:sSub>
          <m:e>
            <m:r>
              <m:t>F</m:t>
            </m:r>
          </m:e>
          <m:sub>
            <m:r>
              <m:t>0.95</m:t>
            </m:r>
            <m:r>
              <m:t>,</m:t>
            </m:r>
            <m:r>
              <m:t>1</m:t>
            </m:r>
            <m:r>
              <m:t>,</m:t>
            </m:r>
            <m:r>
              <m:t>22</m:t>
            </m:r>
          </m:sub>
        </m:sSub>
        <m:r>
          <m:t>=</m:t>
        </m:r>
        <m:r>
          <m:t>4</m:t>
        </m:r>
        <m:r>
          <m:t>,</m:t>
        </m:r>
        <m:r>
          <m:t>3009</m:t>
        </m:r>
      </m:oMath>
      <w:r>
        <w:t xml:space="preserve">. Como a estatística observada é</w:t>
      </w:r>
      <w:r>
        <w:t xml:space="preserve"> </w:t>
      </w:r>
      <w:r>
        <w:rPr>
          <w:i/>
        </w:rPr>
        <w:t xml:space="preserve">maior</w:t>
      </w:r>
      <w:r>
        <w:t xml:space="preserve"> </w:t>
      </w:r>
      <w:r>
        <w:t xml:space="preserve">que o quantil da distribuição para a determinação da região crítica (</w:t>
      </w:r>
      <m:oMath>
        <m:sSub>
          <m:e>
            <m:r>
              <m:t>F</m:t>
            </m:r>
          </m:e>
          <m:sub>
            <m:r>
              <m:t>O</m:t>
            </m:r>
            <m:r>
              <m:t>B</m:t>
            </m:r>
            <m:r>
              <m:t>S</m:t>
            </m:r>
          </m:sub>
        </m:sSub>
      </m:oMath>
      <w:r>
        <w:t xml:space="preserve"> </w:t>
      </w:r>
      <w:r>
        <w:t xml:space="preserve">&gt;</w:t>
      </w:r>
      <w:r>
        <w:t xml:space="preserve"> </w:t>
      </w:r>
      <m:oMath>
        <m:r>
          <m:t>F</m:t>
        </m:r>
      </m:oMath>
      <w:r>
        <w:t xml:space="preserve">) e o valor</w:t>
      </w:r>
      <w:r>
        <w:t xml:space="preserve"> </w:t>
      </w:r>
      <m:oMath>
        <m:r>
          <m:t>p</m:t>
        </m:r>
      </m:oMath>
      <w:r>
        <w:t xml:space="preserve"> </w:t>
      </w:r>
      <w:r>
        <w:t xml:space="preserve">associado a esse teste</w:t>
      </w:r>
      <w:r>
        <w:t xml:space="preserve"> </w:t>
      </w:r>
      <m:oMath>
        <m:r>
          <m:t>F</m:t>
        </m:r>
      </m:oMath>
      <w:r>
        <w:t xml:space="preserve"> </w:t>
      </w:r>
      <w:r>
        <w:t xml:space="preserve">(</w:t>
      </w:r>
      <m:oMath>
        <m:r>
          <m:t>2</m:t>
        </m:r>
        <m:r>
          <m:t>×</m:t>
        </m:r>
        <m:r>
          <m:t>P</m:t>
        </m:r>
        <m:r>
          <m:t>r</m:t>
        </m:r>
        <m:r>
          <m:t>(</m:t>
        </m:r>
        <m:sSub>
          <m:e>
            <m:r>
              <m:t>F</m:t>
            </m:r>
          </m:e>
          <m:sub>
            <m:r>
              <m:t>0.95</m:t>
            </m:r>
            <m:r>
              <m:t>,</m:t>
            </m:r>
            <m:r>
              <m:t>1</m:t>
            </m:r>
            <m:r>
              <m:t>,</m:t>
            </m:r>
            <m:r>
              <m:t>22</m:t>
            </m:r>
          </m:sub>
        </m:sSub>
        <m:r>
          <m:t>&gt;</m:t>
        </m:r>
        <m:r>
          <m:t>F</m:t>
        </m:r>
        <m:r>
          <m:t>)</m:t>
        </m:r>
        <m:r>
          <m:t>=</m:t>
        </m:r>
        <m:r>
          <m:t>4</m:t>
        </m:r>
        <m:r>
          <m:t>,</m:t>
        </m:r>
        <m:r>
          <m:t>5209</m:t>
        </m:r>
        <m:r>
          <m:t>×</m:t>
        </m:r>
        <m:sSup>
          <m:e>
            <m:r>
              <m:t>10</m:t>
            </m:r>
          </m:e>
          <m:sup>
            <m:r>
              <m:t>−</m:t>
            </m:r>
            <m:r>
              <m:t>22</m:t>
            </m:r>
          </m:sup>
        </m:sSup>
      </m:oMath>
      <w:r>
        <w:t xml:space="preserve">) é menor que 0,05 rejeitamos</w:t>
      </w:r>
      <w:r>
        <w:t xml:space="preserve"> </w:t>
      </w:r>
      <m:oMath>
        <m:sSub>
          <m:e>
            <m:r>
              <m:t>H</m:t>
            </m:r>
          </m:e>
          <m:sub>
            <m:r>
              <m:t>0</m:t>
            </m:r>
          </m:sub>
        </m:sSub>
      </m:oMath>
      <w:r>
        <w:t xml:space="preserve"> </w:t>
      </w:r>
      <w:r>
        <w:t xml:space="preserve">e concluimos que o coeficiente angular é significativamente diferente de zero ao nível de significância do 5%</w:t>
      </w:r>
    </w:p>
    <w:p>
      <w:pPr>
        <w:pStyle w:val="Heading2"/>
      </w:pPr>
      <w:bookmarkStart w:id="27" w:name="análise-de-resíduos"/>
      <w:r>
        <w:t xml:space="preserve">Análise de Resíduos</w:t>
      </w:r>
      <w:bookmarkEnd w:id="27"/>
    </w:p>
    <w:p>
      <w:pPr>
        <w:pStyle w:val="FirstParagraph"/>
      </w:pPr>
      <w:r>
        <w:t xml:space="preserve">A tabela a seguir, apresenta a análise exploratória dos resíduos.</w:t>
      </w:r>
    </w:p>
    <w:p>
      <w:pPr>
        <w:pStyle w:val="TableCaption"/>
      </w:pPr>
      <w:r>
        <w:t xml:space="preserve">Tabela dos resíduos</w:t>
      </w:r>
    </w:p>
    <w:tbl>
      <w:tblPr>
        <w:tblStyle w:val="Table"/>
        <w:tblW w:type="pct" w:w="0.0"/>
        <w:tblLook w:firstRow="1"/>
        <w:tblCaption w:val="Tabela dos resíduos"/>
      </w:tblPr>
      <w:tblGrid/>
      <w:tr>
        <w:trPr>
          <w:cnfStyle w:firstRow="1"/>
        </w:trPr>
        <w:tc>
          <w:tcPr>
            <w:tcBorders>
              <w:bottom w:val="single"/>
            </w:tcBorders>
            <w:vAlign w:val="bottom"/>
          </w:tcPr>
          <w:p>
            <w:pPr>
              <w:pStyle w:val="Compact"/>
              <w:jc w:val="right"/>
            </w:pPr>
            <w:r>
              <w:t xml:space="preserve">Mínimo</w:t>
            </w:r>
          </w:p>
        </w:tc>
        <w:tc>
          <w:tcPr>
            <w:tcBorders>
              <w:bottom w:val="single"/>
            </w:tcBorders>
            <w:vAlign w:val="bottom"/>
          </w:tcPr>
          <w:p>
            <w:pPr>
              <w:pStyle w:val="Compact"/>
              <w:jc w:val="right"/>
            </w:pPr>
            <w:r>
              <w:t xml:space="preserve">1Q</w:t>
            </w:r>
          </w:p>
        </w:tc>
        <w:tc>
          <w:tcPr>
            <w:tcBorders>
              <w:bottom w:val="single"/>
            </w:tcBorders>
            <w:vAlign w:val="bottom"/>
          </w:tcPr>
          <w:p>
            <w:pPr>
              <w:pStyle w:val="Compact"/>
              <w:jc w:val="right"/>
            </w:pPr>
            <w:r>
              <w:t xml:space="preserve">Mediana</w:t>
            </w:r>
          </w:p>
        </w:tc>
        <w:tc>
          <w:tcPr>
            <w:tcBorders>
              <w:bottom w:val="single"/>
            </w:tcBorders>
            <w:vAlign w:val="bottom"/>
          </w:tcPr>
          <w:p>
            <w:pPr>
              <w:pStyle w:val="Compact"/>
              <w:jc w:val="right"/>
            </w:pPr>
            <w:r>
              <w:t xml:space="preserve">Média</w:t>
            </w:r>
          </w:p>
        </w:tc>
        <w:tc>
          <w:tcPr>
            <w:tcBorders>
              <w:bottom w:val="single"/>
            </w:tcBorders>
            <w:vAlign w:val="bottom"/>
          </w:tcPr>
          <w:p>
            <w:pPr>
              <w:pStyle w:val="Compact"/>
              <w:jc w:val="right"/>
            </w:pPr>
            <w:r>
              <w:t xml:space="preserve">3Q</w:t>
            </w:r>
          </w:p>
        </w:tc>
        <w:tc>
          <w:tcPr>
            <w:tcBorders>
              <w:bottom w:val="single"/>
            </w:tcBorders>
            <w:vAlign w:val="bottom"/>
          </w:tcPr>
          <w:p>
            <w:pPr>
              <w:pStyle w:val="Compact"/>
              <w:jc w:val="right"/>
            </w:pPr>
            <w:r>
              <w:t xml:space="preserve">Máximo</w:t>
            </w:r>
          </w:p>
        </w:tc>
      </w:tr>
      <w:tr>
        <w:tc>
          <w:p>
            <w:pPr>
              <w:pStyle w:val="Compact"/>
              <w:jc w:val="right"/>
            </w:pPr>
            <w:r>
              <w:t xml:space="preserve">-47147</w:t>
            </w:r>
          </w:p>
        </w:tc>
        <w:tc>
          <w:p>
            <w:pPr>
              <w:pStyle w:val="Compact"/>
              <w:jc w:val="right"/>
            </w:pPr>
            <w:r>
              <w:t xml:space="preserve">-6546</w:t>
            </w:r>
          </w:p>
        </w:tc>
        <w:tc>
          <w:p>
            <w:pPr>
              <w:pStyle w:val="Compact"/>
              <w:jc w:val="right"/>
            </w:pPr>
            <w:r>
              <w:t xml:space="preserve">111,1</w:t>
            </w:r>
          </w:p>
        </w:tc>
        <w:tc>
          <w:p>
            <w:pPr>
              <w:pStyle w:val="Compact"/>
              <w:jc w:val="right"/>
            </w:pPr>
            <w:r>
              <w:t xml:space="preserve">0</w:t>
            </w:r>
          </w:p>
        </w:tc>
        <w:tc>
          <w:p>
            <w:pPr>
              <w:pStyle w:val="Compact"/>
              <w:jc w:val="right"/>
            </w:pPr>
            <w:r>
              <w:t xml:space="preserve">9582</w:t>
            </w:r>
          </w:p>
        </w:tc>
        <w:tc>
          <w:p>
            <w:pPr>
              <w:pStyle w:val="Compact"/>
              <w:jc w:val="right"/>
            </w:pPr>
            <w:r>
              <w:t xml:space="preserve">32117</w:t>
            </w:r>
          </w:p>
        </w:tc>
      </w:tr>
    </w:tbl>
    <w:p>
      <w:pPr>
        <w:pStyle w:val="BodyText"/>
      </w:pPr>
      <w:r>
        <w:t xml:space="preserve">Observando a tabela acima, podemos estudar se os valores de mínimo e máximo, em módulo apresentam ou não uma diferença notável, assim como a mediana e a média, o que nos dá indícios de que a distribuição dos resíduos é simétrica.</w:t>
      </w:r>
    </w:p>
    <w:p>
      <w:pPr>
        <w:pStyle w:val="BodyText"/>
      </w:pPr>
      <w:r>
        <w:t xml:space="preserve">O coeficiente de correlação de Pearson mede o grau de proporcionalidade entre a variável explicativa (concentração) e a varíavel resposta (área). Temos que o coeficiente de determinação R</w:t>
      </w:r>
      <w:r>
        <w:rPr>
          <w:vertAlign w:val="superscript"/>
        </w:rPr>
        <w:t xml:space="preserve">2</w:t>
      </w:r>
      <w:r>
        <w:t xml:space="preserve"> </w:t>
      </w:r>
      <w:r>
        <w:t xml:space="preserve">é dado pela divisão da soma de quadrados da regressão (SQR) pela soma de quadrados total (SQT=SQR+SQE):</w:t>
      </w:r>
    </w:p>
    <w:p>
      <w:pPr>
        <w:pStyle w:val="BodyText"/>
      </w:pPr>
      <m:oMathPara>
        <m:oMathParaPr>
          <m:jc m:val="center"/>
        </m:oMathParaPr>
        <m:oMath>
          <m:m>
            <m:mPr>
              <m:baseJc m:val="center"/>
              <m:plcHide m:val="1"/>
              <m:mcs>
                <m:mc>
                  <m:mcPr>
                    <m:mcJc m:val="right"/>
                    <m:count m:val="1"/>
                  </m:mcPr>
                </m:mc>
              </m:mcs>
            </m:mPr>
            <m:mr>
              <m:e>
                <m:sSup>
                  <m:e>
                    <m:r>
                      <m:t>R</m:t>
                    </m:r>
                  </m:e>
                  <m:sup>
                    <m:r>
                      <m:t>2</m:t>
                    </m:r>
                  </m:sup>
                </m:sSup>
                <m:r>
                  <m:t>=</m:t>
                </m:r>
                <m:f>
                  <m:fPr>
                    <m:type m:val="bar"/>
                  </m:fPr>
                  <m:num>
                    <m:r>
                      <m:t>S</m:t>
                    </m:r>
                    <m:r>
                      <m:t>Q</m:t>
                    </m:r>
                    <m:r>
                      <m:t>R</m:t>
                    </m:r>
                  </m:num>
                  <m:den>
                    <m:r>
                      <m:t>S</m:t>
                    </m:r>
                    <m:r>
                      <m:t>Q</m:t>
                    </m:r>
                    <m:r>
                      <m:t>T</m:t>
                    </m:r>
                  </m:den>
                </m:f>
                <m:r>
                  <m:t>=</m:t>
                </m:r>
                <m:f>
                  <m:fPr>
                    <m:type m:val="bar"/>
                  </m:fPr>
                  <m:num>
                    <m:r>
                      <m:t>S</m:t>
                    </m:r>
                    <m:r>
                      <m:t>Q</m:t>
                    </m:r>
                    <m:r>
                      <m:t>E</m:t>
                    </m:r>
                  </m:num>
                  <m:den>
                    <m:r>
                      <m:t>S</m:t>
                    </m:r>
                    <m:r>
                      <m:t>Q</m:t>
                    </m:r>
                    <m:r>
                      <m:t>R</m:t>
                    </m:r>
                    <m:r>
                      <m:t>+</m:t>
                    </m:r>
                    <m:r>
                      <m:t>S</m:t>
                    </m:r>
                    <m:r>
                      <m:t>Q</m:t>
                    </m:r>
                    <m:r>
                      <m:t>E</m:t>
                    </m:r>
                  </m:den>
                </m:f>
                <m:r>
                  <m:t>=</m:t>
                </m:r>
                <m:f>
                  <m:fPr>
                    <m:type m:val="bar"/>
                  </m:fPr>
                  <m:num>
                    <m:r>
                      <m:t>5</m:t>
                    </m:r>
                    <m:r>
                      <m:t>,</m:t>
                    </m:r>
                    <m:r>
                      <m:t>9969</m:t>
                    </m:r>
                    <m:r>
                      <m:t>×</m:t>
                    </m:r>
                    <m:sSup>
                      <m:e>
                        <m:r>
                          <m:t>10</m:t>
                        </m:r>
                      </m:e>
                      <m:sup>
                        <m:r>
                          <m:t>11</m:t>
                        </m:r>
                      </m:sup>
                    </m:sSup>
                  </m:num>
                  <m:den>
                    <m:r>
                      <m:t>6</m:t>
                    </m:r>
                    <m:r>
                      <m:t>,</m:t>
                    </m:r>
                    <m:r>
                      <m:t>0789</m:t>
                    </m:r>
                    <m:r>
                      <m:t>×</m:t>
                    </m:r>
                    <m:sSup>
                      <m:e>
                        <m:r>
                          <m:t>10</m:t>
                        </m:r>
                      </m:e>
                      <m:sup>
                        <m:r>
                          <m:t>11</m:t>
                        </m:r>
                      </m:sup>
                    </m:sSup>
                  </m:den>
                </m:f>
                <m:r>
                  <m:t>=</m:t>
                </m:r>
                <m:r>
                  <m:t>0</m:t>
                </m:r>
                <m:r>
                  <m:t>,</m:t>
                </m:r>
                <m:r>
                  <m:t>9865</m:t>
                </m:r>
              </m:e>
            </m:mr>
            <m:mr>
              <m:e>
                <m:r>
                  <m:t>r</m:t>
                </m:r>
                <m:r>
                  <m:t>=</m:t>
                </m:r>
                <m:rad>
                  <m:radPr>
                    <m:degHide m:val="1"/>
                  </m:radPr>
                  <m:deg/>
                  <m:e>
                    <m:sSup>
                      <m:e>
                        <m:r>
                          <m:t>R</m:t>
                        </m:r>
                      </m:e>
                      <m:sup>
                        <m:r>
                          <m:t>2</m:t>
                        </m:r>
                      </m:sup>
                    </m:sSup>
                  </m:e>
                </m:rad>
                <m:r>
                  <m:t>=</m:t>
                </m:r>
                <m:rad>
                  <m:radPr>
                    <m:degHide m:val="1"/>
                  </m:radPr>
                  <m:deg/>
                  <m:e>
                    <m:r>
                      <m:t>0</m:t>
                    </m:r>
                    <m:r>
                      <m:t>,</m:t>
                    </m:r>
                    <m:r>
                      <m:t>9865</m:t>
                    </m:r>
                  </m:e>
                </m:rad>
                <m:r>
                  <m:t>=</m:t>
                </m:r>
                <m:r>
                  <m:t>0</m:t>
                </m:r>
                <m:r>
                  <m:t>,</m:t>
                </m:r>
                <m:r>
                  <m:t>9932</m:t>
                </m:r>
              </m:e>
            </m:mr>
          </m:m>
        </m:oMath>
      </m:oMathPara>
    </w:p>
    <w:p>
      <w:pPr>
        <w:pStyle w:val="FirstParagraph"/>
      </w:pPr>
      <w:r>
        <w:t xml:space="preserve">Logo o critério da RDC em relação ao coeficiente é satisfeto, visto que 0,9932 está acima do valor especificado pela agência reguladora (0,990). Note que o coeficiente de determinação representa a relação sinal/ruído, em que SQR está relacionada ao sinal analítico e o ruído está relacionada ao SQT.</w:t>
      </w:r>
    </w:p>
    <w:p>
      <w:pPr>
        <w:pStyle w:val="Heading3"/>
      </w:pPr>
      <w:bookmarkStart w:id="28" w:name="gráficos-de-diagnóstico"/>
      <w:r>
        <w:t xml:space="preserve">Gráficos de diagnóstico</w:t>
      </w:r>
      <w:bookmarkEnd w:id="28"/>
    </w:p>
    <w:p>
      <w:pPr>
        <w:pStyle w:val="FirstParagraph"/>
      </w:pPr>
      <w:r>
        <w:drawing>
          <wp:inline>
            <wp:extent cx="5334000" cy="6667500"/>
            <wp:effectExtent b="0" l="0" r="0" t="0"/>
            <wp:docPr descr="" title="" id="1" name="Picture"/>
            <a:graphic>
              <a:graphicData uri="http://schemas.openxmlformats.org/drawingml/2006/picture">
                <pic:pic>
                  <pic:nvPicPr>
                    <pic:cNvPr descr="linearidade_hetero_portalaction_files/figure-docx/diagplot-1.png" id="0" name="Picture"/>
                    <pic:cNvPicPr>
                      <a:picLocks noChangeArrowheads="1" noChangeAspect="1"/>
                    </pic:cNvPicPr>
                  </pic:nvPicPr>
                  <pic:blipFill>
                    <a:blip r:embed="rId29"/>
                    <a:stretch>
                      <a:fillRect/>
                    </a:stretch>
                  </pic:blipFill>
                  <pic:spPr bwMode="auto">
                    <a:xfrm>
                      <a:off x="0" y="0"/>
                      <a:ext cx="5334000" cy="6667500"/>
                    </a:xfrm>
                    <a:prstGeom prst="rect">
                      <a:avLst/>
                    </a:prstGeom>
                    <a:noFill/>
                    <a:ln w="9525">
                      <a:noFill/>
                      <a:headEnd/>
                      <a:tailEnd/>
                    </a:ln>
                  </pic:spPr>
                </pic:pic>
              </a:graphicData>
            </a:graphic>
          </wp:inline>
        </w:drawing>
      </w:r>
    </w:p>
    <w:p>
      <w:pPr>
        <w:numPr>
          <w:numId w:val="1002"/>
          <w:ilvl w:val="0"/>
        </w:numPr>
      </w:pPr>
      <w:r>
        <w:t xml:space="preserve">No gráfico de residuos vs valores ajustados observamos se existe comportamento não linear, dados dispersos homogenamente no redor de uma linha horizontal sem padrão aparente é um indicador de relação linear.</w:t>
      </w:r>
    </w:p>
    <w:p>
      <w:pPr>
        <w:numPr>
          <w:numId w:val="1002"/>
          <w:ilvl w:val="0"/>
        </w:numPr>
      </w:pPr>
      <w:r>
        <w:t xml:space="preserve">O gráfico Q-Q indica se os resíduos estão distribuidos normalmente. Se os resíduos seguem a linha reta é um indício de que a suposição de normalidade para os erros experimentais é satisfeita.</w:t>
      </w:r>
    </w:p>
    <w:p>
      <w:pPr>
        <w:numPr>
          <w:numId w:val="1002"/>
          <w:ilvl w:val="0"/>
        </w:numPr>
      </w:pPr>
      <w:r>
        <w:t xml:space="preserve">O gráfico de</w:t>
      </w:r>
      <w:r>
        <w:t xml:space="preserve"> </w:t>
      </w:r>
      <w:r>
        <w:rPr>
          <w:i/>
        </w:rPr>
        <w:t xml:space="preserve">scale-location</w:t>
      </w:r>
      <w:r>
        <w:t xml:space="preserve"> </w:t>
      </w:r>
      <w:r>
        <w:t xml:space="preserve">indica se os resíduos estão distribuídos igualmente ao longo dos intervalos dos preditores, uma linea horizontal com pontos dispersos aleatóriamente na volta é um indicativo de que a suposição de homocedasticidade é satisfeita.</w:t>
      </w:r>
    </w:p>
    <w:p>
      <w:pPr>
        <w:numPr>
          <w:numId w:val="1002"/>
          <w:ilvl w:val="0"/>
        </w:numPr>
      </w:pPr>
      <w:r>
        <w:t xml:space="preserve">O gráfico de distância de Cook indica se existe algum punto influente, alguns indicam uma distância maior do que 1 para considerar um punto influente.</w:t>
      </w:r>
      <w:r>
        <w:t xml:space="preserve"> </w:t>
      </w:r>
      <w:hyperlink r:id="rId30">
        <w:r>
          <w:rPr>
            <w:rStyle w:val="Hyperlink"/>
          </w:rPr>
          <w:t xml:space="preserve">Outras referências</w:t>
        </w:r>
      </w:hyperlink>
      <w:r>
        <w:t xml:space="preserve"> </w:t>
      </w:r>
      <w:r>
        <w:t xml:space="preserve">indicam como limite um valor de 4/n ou 4/(n-k-1), onde n=número de observações e k é o número de variáveis explicativas.</w:t>
      </w:r>
    </w:p>
    <w:p>
      <w:pPr>
        <w:numPr>
          <w:numId w:val="1002"/>
          <w:ilvl w:val="0"/>
        </w:numPr>
      </w:pPr>
      <w:r>
        <w:t xml:space="preserve">No gráfico de resíduos vs</w:t>
      </w:r>
      <w:r>
        <w:t xml:space="preserve"> </w:t>
      </w:r>
      <w:r>
        <w:rPr>
          <w:i/>
        </w:rPr>
        <w:t xml:space="preserve">leverage</w:t>
      </w:r>
      <w:r>
        <w:t xml:space="preserve"> </w:t>
      </w:r>
      <w:r>
        <w:t xml:space="preserve">observamos a dispersão dos resíduos em função do</w:t>
      </w:r>
      <w:r>
        <w:t xml:space="preserve"> </w:t>
      </w:r>
      <w:r>
        <w:rPr>
          <w:i/>
        </w:rPr>
        <w:t xml:space="preserve">leverage</w:t>
      </w:r>
      <w:r>
        <w:t xml:space="preserve">. O</w:t>
      </w:r>
      <w:r>
        <w:t xml:space="preserve"> </w:t>
      </w:r>
      <w:r>
        <w:rPr>
          <w:i/>
        </w:rPr>
        <w:t xml:space="preserve">leverage</w:t>
      </w:r>
      <w:r>
        <w:t xml:space="preserve"> </w:t>
      </w:r>
      <w:r>
        <w:t xml:space="preserve">é uma medida de quão distantes os valores das variáveis independentes de uma observação estão daqueles das outras observações. O gráfico é utilizado principalmente para detectar heteroscedasticidade e não linearidade. A propagação de resíduos padronizados não deve mudar em função do leverage numa situação de homocedasticidade (variância constante).</w:t>
      </w:r>
    </w:p>
    <w:p>
      <w:pPr>
        <w:numPr>
          <w:numId w:val="1002"/>
          <w:ilvl w:val="0"/>
        </w:numPr>
      </w:pPr>
      <w:r>
        <w:t xml:space="preserve">O gráfico de distância de cook vs leverage indica se os pontos com alto</w:t>
      </w:r>
      <w:r>
        <w:t xml:space="preserve"> </w:t>
      </w:r>
      <w:r>
        <w:rPr>
          <w:i/>
        </w:rPr>
        <w:t xml:space="preserve">leverage</w:t>
      </w:r>
      <w:r>
        <w:t xml:space="preserve"> </w:t>
      </w:r>
      <w:r>
        <w:t xml:space="preserve">podem ter influência: ou seja, se excluí-los mudaria muito o modelo. Para isso, podemos observar a distância de Cook, que mede o efeito da exclusão de um ponto no vetor de parâmetro combinado. Uma diretriz aproximada, para tamanhos de amostra grandes, é considerar os valores de distância de Cook acima de 1 para indicar pontos altamente influentes e valores de</w:t>
      </w:r>
      <w:r>
        <w:t xml:space="preserve"> </w:t>
      </w:r>
      <w:r>
        <w:rPr>
          <w:i/>
        </w:rPr>
        <w:t xml:space="preserve">leverage</w:t>
      </w:r>
      <w:r>
        <w:t xml:space="preserve"> </w:t>
      </w:r>
      <w:r>
        <w:t xml:space="preserve">maiores que 2 vezes o número de preditores dividido pelo tamanho da amostra para indicar observações de alto</w:t>
      </w:r>
      <w:r>
        <w:t xml:space="preserve"> </w:t>
      </w:r>
      <w:r>
        <w:rPr>
          <w:i/>
        </w:rPr>
        <w:t xml:space="preserve">leverage</w:t>
      </w:r>
      <w:r>
        <w:t xml:space="preserve"> </w:t>
      </w:r>
      <w:r>
        <w:t xml:space="preserve">(no nosso caso esté limite sería</w:t>
      </w:r>
      <w:r>
        <w:t xml:space="preserve"> </w:t>
      </w:r>
      <m:oMath>
        <m:r>
          <m:t>2</m:t>
        </m:r>
        <m:r>
          <m:t>×</m:t>
        </m:r>
        <m:r>
          <m:t>(</m:t>
        </m:r>
        <m:r>
          <m:t>1</m:t>
        </m:r>
        <m:r>
          <m:t>/</m:t>
        </m:r>
        <m:r>
          <m:t>24</m:t>
        </m:r>
        <m:r>
          <m:t>)</m:t>
        </m:r>
        <m:r>
          <m:t>=</m:t>
        </m:r>
        <m:r>
          <m:t>0</m:t>
        </m:r>
        <m:r>
          <m:t>,</m:t>
        </m:r>
        <m:r>
          <m:t>0833</m:t>
        </m:r>
      </m:oMath>
      <w:r>
        <w:t xml:space="preserve">). Observações de alto</w:t>
      </w:r>
      <w:r>
        <w:t xml:space="preserve"> </w:t>
      </w:r>
      <w:r>
        <w:rPr>
          <w:i/>
        </w:rPr>
        <w:t xml:space="preserve">leverage</w:t>
      </w:r>
      <w:r>
        <w:t xml:space="preserve"> </w:t>
      </w:r>
      <w:r>
        <w:t xml:space="preserve">são aquelas que possuem valores preditores muito distantes de suas médias, o que pode influenciar muito o modelo ajustado.</w:t>
      </w:r>
    </w:p>
    <w:p>
      <w:pPr>
        <w:pStyle w:val="FirstParagraph"/>
      </w:pPr>
      <w:r>
        <w:t xml:space="preserve">Para validar as indicações sugeridas a partir da análise gráfica, vamos verificar as hipótese levantadas por meio dos testes estatísticos:</w:t>
      </w:r>
    </w:p>
    <w:p>
      <w:pPr>
        <w:pStyle w:val="Heading3"/>
      </w:pPr>
      <w:bookmarkStart w:id="31" w:name="teste-de-normalidade-dos-resíduos"/>
      <w:r>
        <w:t xml:space="preserve">Teste de normalidade dos resíduos</w:t>
      </w:r>
      <w:bookmarkEnd w:id="31"/>
    </w:p>
    <w:p>
      <w:pPr>
        <w:pStyle w:val="FirstParagraph"/>
      </w:pPr>
      <w:r>
        <w:t xml:space="preserve">A seguir, avaliamos a normalidade dos erros experimentais por meio do teste de Shapiro-Wilk, no qual as hipóteses são:</w:t>
      </w:r>
    </w:p>
    <w:p>
      <w:pPr>
        <w:pStyle w:val="BodyText"/>
      </w:pPr>
      <m:oMath>
        <m:sSub>
          <m:e>
            <m:r>
              <m:t>H</m:t>
            </m:r>
          </m:e>
          <m:sub>
            <m:r>
              <m:t>0</m:t>
            </m:r>
          </m:sub>
        </m:sSub>
      </m:oMath>
      <w:r>
        <w:t xml:space="preserve"> </w:t>
      </w:r>
      <w:r>
        <w:t xml:space="preserve">: A distribuição dos erros experimentais é normal</w:t>
      </w:r>
    </w:p>
    <w:p>
      <w:pPr>
        <w:pStyle w:val="BodyText"/>
      </w:pPr>
      <m:oMath>
        <m:sSub>
          <m:e>
            <m:r>
              <m:t>H</m:t>
            </m:r>
          </m:e>
          <m:sub>
            <m:r>
              <m:t>1</m:t>
            </m:r>
          </m:sub>
        </m:sSub>
      </m:oMath>
      <w:r>
        <w:t xml:space="preserve"> </w:t>
      </w:r>
      <w:r>
        <w:t xml:space="preserve">: A distribuição dos erros experimentais não é normal</w:t>
      </w:r>
    </w:p>
    <w:p>
      <w:pPr>
        <w:pStyle w:val="TableCaption"/>
      </w:pPr>
      <w:r>
        <w:t xml:space="preserve">Teste de normalidade de Shapiro-Wilk</w:t>
      </w:r>
    </w:p>
    <w:tbl>
      <w:tblPr>
        <w:tblStyle w:val="Table"/>
        <w:tblW w:type="pct" w:w="0.0"/>
        <w:tblLook w:firstRow="1"/>
        <w:tblCaption w:val="Teste de normalidade de Shapiro-Wilk"/>
      </w:tblPr>
      <w:tblGrid/>
      <w:tr>
        <w:trPr>
          <w:cnfStyle w:firstRow="1"/>
        </w:trPr>
        <w:tc>
          <w:tcPr>
            <w:tcBorders>
              <w:bottom w:val="single"/>
            </w:tcBorders>
            <w:vAlign w:val="bottom"/>
          </w:tcPr>
          <w:p>
            <w:pPr>
              <w:pStyle w:val="Compact"/>
              <w:jc w:val="center"/>
            </w:pPr>
            <w:r>
              <w:t xml:space="preserve">Estatística w</w:t>
            </w:r>
          </w:p>
        </w:tc>
        <w:tc>
          <w:tcPr>
            <w:tcBorders>
              <w:bottom w:val="single"/>
            </w:tcBorders>
            <w:vAlign w:val="bottom"/>
          </w:tcPr>
          <w:p>
            <w:pPr>
              <w:pStyle w:val="Compact"/>
              <w:jc w:val="center"/>
            </w:pPr>
            <w:r>
              <w:t xml:space="preserve">p-valor</w:t>
            </w:r>
          </w:p>
        </w:tc>
      </w:tr>
      <w:tr>
        <w:tc>
          <w:p>
            <w:pPr>
              <w:pStyle w:val="Compact"/>
              <w:jc w:val="center"/>
            </w:pPr>
            <w:r>
              <w:t xml:space="preserve">0,9363</w:t>
            </w:r>
          </w:p>
        </w:tc>
        <w:tc>
          <w:p>
            <w:pPr>
              <w:pStyle w:val="Compact"/>
              <w:jc w:val="center"/>
            </w:pPr>
            <w:r>
              <w:t xml:space="preserve">0,1346</w:t>
            </w:r>
          </w:p>
        </w:tc>
      </w:tr>
    </w:tbl>
    <w:p>
      <w:pPr>
        <w:pStyle w:val="BodyText"/>
      </w:pPr>
      <w:r>
        <w:t xml:space="preserve">Como resultado temos um valor estatístico w=0,9363 e que o valor</w:t>
      </w:r>
      <w:r>
        <w:t xml:space="preserve"> </w:t>
      </w:r>
      <m:oMath>
        <m:r>
          <m:t>p</m:t>
        </m:r>
      </m:oMath>
      <w:r>
        <w:t xml:space="preserve"> </w:t>
      </w:r>
      <w:r>
        <w:t xml:space="preserve">associado a esse teste (0,1346) é maior que 0,05, sendo assim, aceitamos a hipótese nula</w:t>
      </w:r>
      <w:r>
        <w:t xml:space="preserve"> </w:t>
      </w:r>
      <m:oMath>
        <m:sSub>
          <m:e>
            <m:r>
              <m:t>H</m:t>
            </m:r>
          </m:e>
          <m:sub>
            <m:r>
              <m:t>0</m:t>
            </m:r>
          </m:sub>
        </m:sSub>
      </m:oMath>
      <w:r>
        <w:t xml:space="preserve"> </w:t>
      </w:r>
      <w:r>
        <w:t xml:space="preserve">de normalidade dos erros experimentais ao nível de significância de 5%. Note que o resultado do teste de Shapiro-Wilk está em conformidade com a análise gráfica do gráfico Q-Q.</w:t>
      </w:r>
    </w:p>
    <w:p>
      <w:pPr>
        <w:pStyle w:val="Heading3"/>
      </w:pPr>
      <w:bookmarkStart w:id="32" w:name="teste-de-homocedasticidade"/>
      <w:r>
        <w:t xml:space="preserve">Teste de homocedasticidade</w:t>
      </w:r>
      <w:bookmarkEnd w:id="32"/>
    </w:p>
    <w:p>
      <w:pPr>
        <w:pStyle w:val="FirstParagraph"/>
      </w:pPr>
      <w:r>
        <w:t xml:space="preserve">A seguir, analisamos a homoscedasticidade por meio do teste de Breusch-Pagan, no qual as hipóteses são:</w:t>
      </w:r>
    </w:p>
    <w:p>
      <w:pPr>
        <w:pStyle w:val="BodyText"/>
      </w:pPr>
      <m:oMath>
        <m:sSub>
          <m:e>
            <m:r>
              <m:t>H</m:t>
            </m:r>
          </m:e>
          <m:sub>
            <m:r>
              <m:t>0</m:t>
            </m:r>
          </m:sub>
        </m:sSub>
      </m:oMath>
      <w:r>
        <w:t xml:space="preserve"> </w:t>
      </w:r>
      <w:r>
        <w:t xml:space="preserve">: As variâncias são iguais.</w:t>
      </w:r>
    </w:p>
    <w:p>
      <w:pPr>
        <w:pStyle w:val="BodyText"/>
      </w:pPr>
      <m:oMath>
        <m:sSub>
          <m:e>
            <m:r>
              <m:t>H</m:t>
            </m:r>
          </m:e>
          <m:sub>
            <m:r>
              <m:t>1</m:t>
            </m:r>
          </m:sub>
        </m:sSub>
      </m:oMath>
      <w:r>
        <w:t xml:space="preserve"> </w:t>
      </w:r>
      <w:r>
        <w:t xml:space="preserve">: Pelo menos uma variância difere.</w:t>
      </w:r>
    </w:p>
    <w:p>
      <w:pPr>
        <w:pStyle w:val="TableCaption"/>
      </w:pPr>
      <w:r>
        <w:t xml:space="preserve">Teste de homoscedasticidade de Breusch-Pagan</w:t>
      </w:r>
    </w:p>
    <w:tbl>
      <w:tblPr>
        <w:tblStyle w:val="Table"/>
        <w:tblW w:type="pct" w:w="0.0"/>
        <w:tblLook w:firstRow="1"/>
        <w:tblCaption w:val="Teste de homoscedasticidade de Breusch-Pagan"/>
      </w:tblPr>
      <w:tblGrid/>
      <w:tr>
        <w:trPr>
          <w:cnfStyle w:firstRow="1"/>
        </w:trPr>
        <w:tc>
          <w:tcPr>
            <w:tcBorders>
              <w:bottom w:val="single"/>
            </w:tcBorders>
            <w:vAlign w:val="bottom"/>
          </w:tcPr>
          <w:p>
            <w:pPr>
              <w:pStyle w:val="Compact"/>
              <w:jc w:val="center"/>
            </w:pPr>
            <w:r>
              <w:t xml:space="preserve">Estatística BP</w:t>
            </w:r>
          </w:p>
        </w:tc>
        <w:tc>
          <w:tcPr>
            <w:tcBorders>
              <w:bottom w:val="single"/>
            </w:tcBorders>
            <w:vAlign w:val="bottom"/>
          </w:tcPr>
          <w:p>
            <w:pPr>
              <w:pStyle w:val="Compact"/>
              <w:jc w:val="center"/>
            </w:pPr>
            <w:r>
              <w:t xml:space="preserve">p-valor</w:t>
            </w:r>
          </w:p>
        </w:tc>
      </w:tr>
      <w:tr>
        <w:tc>
          <w:p>
            <w:pPr>
              <w:pStyle w:val="Compact"/>
              <w:jc w:val="center"/>
            </w:pPr>
            <w:r>
              <w:t xml:space="preserve">7,569</w:t>
            </w:r>
          </w:p>
        </w:tc>
        <w:tc>
          <w:p>
            <w:pPr>
              <w:pStyle w:val="Compact"/>
              <w:jc w:val="center"/>
            </w:pPr>
            <w:r>
              <w:t xml:space="preserve">0,0059</w:t>
            </w:r>
          </w:p>
        </w:tc>
      </w:tr>
    </w:tbl>
    <w:p>
      <w:pPr>
        <w:pStyle w:val="BodyText"/>
      </w:pPr>
      <w:r>
        <w:t xml:space="preserve">Como resultado temos um valor estatístico BP=7,5689 e que o valor</w:t>
      </w:r>
      <w:r>
        <w:t xml:space="preserve"> </w:t>
      </w:r>
      <m:oMath>
        <m:r>
          <m:t>p</m:t>
        </m:r>
      </m:oMath>
      <w:r>
        <w:t xml:space="preserve"> </w:t>
      </w:r>
      <w:r>
        <w:t xml:space="preserve">associado a esse teste (0,0059) é menor que 0,05, sendo assim, rejeitamos a hipótese nula</w:t>
      </w:r>
      <w:r>
        <w:t xml:space="preserve"> </w:t>
      </w:r>
      <m:oMath>
        <m:sSub>
          <m:e>
            <m:r>
              <m:t>H</m:t>
            </m:r>
          </m:e>
          <m:sub>
            <m:r>
              <m:t>0</m:t>
            </m:r>
          </m:sub>
        </m:sSub>
      </m:oMath>
      <w:r>
        <w:t xml:space="preserve"> </w:t>
      </w:r>
      <w:r>
        <w:t xml:space="preserve">de igualdade das variâncias ao nível de significância de 5%. Note que o resultado do teste está em conformidade com a análise gráfica dos resíduos X valores ajustados. Logo, temos um modelo heterocedástico.</w:t>
      </w:r>
    </w:p>
    <w:p>
      <w:pPr>
        <w:pStyle w:val="BodyText"/>
      </w:pPr>
      <w:r>
        <w:t xml:space="preserve">Conforme o</w:t>
      </w:r>
      <w:r>
        <w:t xml:space="preserve"> </w:t>
      </w:r>
      <w:hyperlink r:id="rId33">
        <w:r>
          <w:rPr>
            <w:rStyle w:val="Hyperlink"/>
          </w:rPr>
          <w:t xml:space="preserve">portal action</w:t>
        </w:r>
      </w:hyperlink>
      <w:r>
        <w:t xml:space="preserve"> </w:t>
      </w:r>
      <w:r>
        <w:t xml:space="preserve">O teste de Breusch-Pagan é o que melhor se adequa neste caso, visto que assumimos a suposição de normalidade para os erros experimentais. Os teste de Cochran e de Brown-Forsythe não se adequam ao nosso objetivo pois necessitam de grupos e, como os dados do exemplo foram coletados de forma independente, os testes em questão não poderiam ser realizados. Já o teste de Goldfeld-Quandt tem como limitação a exigência de amostras relativamente grandes.</w:t>
      </w:r>
    </w:p>
    <w:p>
      <w:pPr>
        <w:pStyle w:val="Heading3"/>
      </w:pPr>
      <w:bookmarkStart w:id="34" w:name="teste-de-autocorrelação"/>
      <w:r>
        <w:t xml:space="preserve">Teste de autocorrelação</w:t>
      </w:r>
      <w:bookmarkEnd w:id="34"/>
    </w:p>
    <w:p>
      <w:pPr>
        <w:pStyle w:val="FirstParagraph"/>
      </w:pPr>
      <w:r>
        <w:t xml:space="preserve">Para confirmar que não há dependência das observações, isto é, que não temos sequências de pontos decrescentes ou crescentes vamos aplicar o teste de Durbin-Watson. As hipóteses do teste são:</w:t>
      </w:r>
    </w:p>
    <w:p>
      <w:pPr>
        <w:pStyle w:val="BodyText"/>
      </w:pPr>
      <m:oMath>
        <m:sSub>
          <m:e>
            <m:r>
              <m:t>H</m:t>
            </m:r>
          </m:e>
          <m:sub>
            <m:r>
              <m:t>0</m:t>
            </m:r>
          </m:sub>
        </m:sSub>
      </m:oMath>
      <w:r>
        <w:t xml:space="preserve"> </w:t>
      </w:r>
      <w:r>
        <w:t xml:space="preserve">: As observações são independentes.</w:t>
      </w:r>
    </w:p>
    <w:p>
      <w:pPr>
        <w:pStyle w:val="BodyText"/>
      </w:pPr>
      <m:oMath>
        <m:sSub>
          <m:e>
            <m:r>
              <m:t>H</m:t>
            </m:r>
          </m:e>
          <m:sub>
            <m:r>
              <m:t>1</m:t>
            </m:r>
          </m:sub>
        </m:sSub>
      </m:oMath>
      <w:r>
        <w:t xml:space="preserve"> </w:t>
      </w:r>
      <w:r>
        <w:t xml:space="preserve">: As observações não são independentes.</w:t>
      </w:r>
    </w:p>
    <w:p>
      <w:pPr>
        <w:pStyle w:val="TableCaption"/>
      </w:pPr>
      <w:r>
        <w:t xml:space="preserve">Teste de autocorrelação de Durbin-Watson</w:t>
      </w:r>
    </w:p>
    <w:tbl>
      <w:tblPr>
        <w:tblStyle w:val="Table"/>
        <w:tblW w:type="pct" w:w="0.0"/>
        <w:tblLook w:firstRow="1"/>
        <w:tblCaption w:val="Teste de autocorrelação de Durbin-Watson"/>
      </w:tblPr>
      <w:tblGrid/>
      <w:tr>
        <w:trPr>
          <w:cnfStyle w:firstRow="1"/>
        </w:trPr>
        <w:tc>
          <w:tcPr>
            <w:tcBorders>
              <w:bottom w:val="single"/>
            </w:tcBorders>
            <w:vAlign w:val="bottom"/>
          </w:tcPr>
          <w:p>
            <w:pPr>
              <w:pStyle w:val="Compact"/>
              <w:jc w:val="center"/>
            </w:pPr>
            <w:r>
              <w:t xml:space="preserve">Estatística DW</w:t>
            </w:r>
          </w:p>
        </w:tc>
        <w:tc>
          <w:tcPr>
            <w:tcBorders>
              <w:bottom w:val="single"/>
            </w:tcBorders>
            <w:vAlign w:val="bottom"/>
          </w:tcPr>
          <w:p>
            <w:pPr>
              <w:pStyle w:val="Compact"/>
              <w:jc w:val="center"/>
            </w:pPr>
            <w:r>
              <w:t xml:space="preserve">p-valor</w:t>
            </w:r>
          </w:p>
        </w:tc>
      </w:tr>
      <w:tr>
        <w:tc>
          <w:p>
            <w:pPr>
              <w:pStyle w:val="Compact"/>
              <w:jc w:val="center"/>
            </w:pPr>
            <w:r>
              <w:t xml:space="preserve">2,825</w:t>
            </w:r>
          </w:p>
        </w:tc>
        <w:tc>
          <w:p>
            <w:pPr>
              <w:pStyle w:val="Compact"/>
              <w:jc w:val="center"/>
            </w:pPr>
            <w:r>
              <w:t xml:space="preserve">0,9731</w:t>
            </w:r>
          </w:p>
        </w:tc>
      </w:tr>
    </w:tbl>
    <w:p>
      <w:pPr>
        <w:pStyle w:val="BodyText"/>
      </w:pPr>
      <w:r>
        <w:t xml:space="preserve">Como resultado temos um valor estatístico DW=2,8255 e que o valor</w:t>
      </w:r>
      <w:r>
        <w:t xml:space="preserve"> </w:t>
      </w:r>
      <m:oMath>
        <m:r>
          <m:t>p</m:t>
        </m:r>
      </m:oMath>
      <w:r>
        <w:t xml:space="preserve"> </w:t>
      </w:r>
      <w:r>
        <w:t xml:space="preserve">associado a esse teste (0,9731) é maior que 0,05, sendo assim, aceitamos a hipótese nula</w:t>
      </w:r>
      <w:r>
        <w:t xml:space="preserve"> </w:t>
      </w:r>
      <m:oMath>
        <m:sSub>
          <m:e>
            <m:r>
              <m:t>H</m:t>
            </m:r>
          </m:e>
          <m:sub>
            <m:r>
              <m:t>0</m:t>
            </m:r>
          </m:sub>
        </m:sSub>
      </m:oMath>
      <w:r>
        <w:t xml:space="preserve"> </w:t>
      </w:r>
      <w:r>
        <w:t xml:space="preserve">de independência das observações ao nível de significância de 5%.</w:t>
      </w:r>
    </w:p>
    <w:p>
      <w:pPr>
        <w:pStyle w:val="Heading2"/>
      </w:pPr>
      <w:bookmarkStart w:id="35" w:name="conclusões"/>
      <w:r>
        <w:t xml:space="preserve">Conclusões</w:t>
      </w:r>
      <w:bookmarkEnd w:id="35"/>
    </w:p>
    <w:p>
      <w:pPr>
        <w:pStyle w:val="FirstParagraph"/>
      </w:pPr>
      <w:r>
        <w:t xml:space="preserve">Critérios da RDC 166:</w:t>
      </w:r>
    </w:p>
    <w:p>
      <w:pPr>
        <w:pStyle w:val="Compact"/>
        <w:numPr>
          <w:numId w:val="1003"/>
          <w:ilvl w:val="0"/>
        </w:numPr>
      </w:pPr>
      <w:r>
        <w:t xml:space="preserve">Coeficiente linear não significativo ao nível de significância de 5%;</w:t>
      </w:r>
    </w:p>
    <w:p>
      <w:pPr>
        <w:pStyle w:val="Compact"/>
        <w:numPr>
          <w:numId w:val="1003"/>
          <w:ilvl w:val="0"/>
        </w:numPr>
      </w:pPr>
      <w:r>
        <w:t xml:space="preserve">Coeficiente angular significativo ao nível de significância de 5%;</w:t>
      </w:r>
    </w:p>
    <w:p>
      <w:pPr>
        <w:pStyle w:val="Compact"/>
        <w:numPr>
          <w:numId w:val="1003"/>
          <w:ilvl w:val="0"/>
        </w:numPr>
      </w:pPr>
      <w:r>
        <w:t xml:space="preserve">Normalidade dos erros experimentais;</w:t>
      </w:r>
    </w:p>
    <w:p>
      <w:pPr>
        <w:pStyle w:val="Compact"/>
        <w:numPr>
          <w:numId w:val="1003"/>
          <w:ilvl w:val="0"/>
        </w:numPr>
      </w:pPr>
      <w:r>
        <w:t xml:space="preserve">Diferências nas variâncias ao nível de significância de 5% (modelo heterocedástico);</w:t>
      </w:r>
    </w:p>
    <w:p>
      <w:pPr>
        <w:pStyle w:val="Compact"/>
        <w:numPr>
          <w:numId w:val="1003"/>
          <w:ilvl w:val="0"/>
        </w:numPr>
      </w:pPr>
      <w:r>
        <w:t xml:space="preserve">As observações são independentes.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3" Target="http://www.portalaction.com.br/validacao-de-metodologia-analitica/exemplo-linearidade-hplc" TargetMode="External" /><Relationship Type="http://schemas.openxmlformats.org/officeDocument/2006/relationships/hyperlink" Id="rId30" Target="https://stats.stackexchange.com/questions/22161/how-to-read-cooks-distance-plots#:~:text=Cook%27s%20distance%20can%20be%20contrasted,dropped%20from%20the%20data%20set." TargetMode="External" /></Relationships>
</file>

<file path=word/_rels/footnotes.xml.rels><?xml version="1.0" encoding="UTF-8"?>
<Relationships xmlns="http://schemas.openxmlformats.org/package/2006/relationships"><Relationship Type="http://schemas.openxmlformats.org/officeDocument/2006/relationships/hyperlink" Id="rId33" Target="http://www.portalaction.com.br/validacao-de-metodologia-analitica/exemplo-linearidade-hplc" TargetMode="External" /><Relationship Type="http://schemas.openxmlformats.org/officeDocument/2006/relationships/hyperlink" Id="rId30" Target="https://stats.stackexchange.com/questions/22161/how-to-read-cooks-distance-plots#:~:text=Cook%27s%20distance%20can%20be%20contrasted,dropped%20from%20the%20data%20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Linearidade</dc:title>
  <dc:creator>Alejandro Yopasá-Arenas, PhD</dc:creator>
  <cp:keywords/>
  <dcterms:created xsi:type="dcterms:W3CDTF">2020-12-17T23:05:40Z</dcterms:created>
  <dcterms:modified xsi:type="dcterms:W3CDTF">2020-12-17T23:05:40Z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17/12/2020</vt:lpwstr>
  </property>
  <property fmtid="{D5CDD505-2E9C-101B-9397-08002B2CF9AE}" pid="3" name="output">
    <vt:lpwstr>word_document</vt:lpwstr>
  </property>
</Properties>
</file>