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line="360" w:lineRule="auto"/>
        <w:jc w:val="center"/>
      </w:pPr>
      <w:r>
        <w:rPr>
          <w:rFonts w:ascii="Times New Roman" w:hAnsi="Times New Roman" w:cs="Times New Roman"/>
          <w:rFonts w:ascii="Times New Roman" w:hAnsi="Times New Roman"/>
          <w:b/>
          <w:i w:val="0"/>
          <w:color w:val="00000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pStyle w:val="Heading2"/>
        <w:spacing w:before="240" w:after="120" w:line="360" w:lineRule="auto"/>
        <w:jc w:val="left"/>
      </w:pPr>
      <w:r>
        <w:rPr>
          <w:rFonts w:ascii="Times New Roman" w:hAnsi="Times New Roman" w:cs="Times New Roman"/>
          <w:rFonts w:ascii="Times New Roman" w:hAnsi="Times New Roman"/>
          <w:b/>
          <w:i w:val="0"/>
          <w:color w:val="00000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pStyle w:val="Heading2"/>
        <w:spacing w:before="240" w:after="120" w:line="360" w:lineRule="auto"/>
        <w:jc w:val="left"/>
      </w:pPr>
      <w:r>
        <w:rPr>
          <w:rFonts w:ascii="Times New Roman" w:hAnsi="Times New Roman" w:cs="Times New Roman"/>
          <w:rFonts w:ascii="Times New Roman" w:hAnsi="Times New Roman"/>
          <w:b/>
          <w:i w:val="0"/>
          <w:color w:val="00000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and TikTok health content despite recognised methodological concerns when applied to audiovisual and short-form media (Azer, 2020; Kong et al., 2021; Li et al., 2024). The present study therefore treats their use as a transparent, controlled adaptation rather than as a platform-specific validation.</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color w:val="000000"/>
          <w:sz w:val="24"/>
        </w:rPr>
        <w:t xml:space="preserve">• Sample: </w:t>
      </w:r>
      <w:r>
        <w:rPr>
          <w:rFonts w:ascii="Times New Roman" w:hAnsi="Times New Roman" w:cs="Times New Roman"/>
          <w:rFonts w:ascii="Times New Roman" w:hAnsi="Times New Roman"/>
          <w:b w:val="0"/>
          <w:i w:val="0"/>
          <w:color w:val="000000"/>
          <w:sz w:val="24"/>
        </w:rPr>
        <w:t>Targeted sample of 200 content items across four platforms; final audited analytical sample of 197 items after three unverifiable TikTok records were excluded.</w:t>
      </w:r>
    </w:p>
    <w:p>
      <w:pPr>
        <w:spacing w:before="0" w:after="40" w:line="360" w:lineRule="auto"/>
        <w:ind w:left="720"/>
        <w:jc w:val="both"/>
      </w:pPr>
      <w:r>
        <w:rPr>
          <w:rFonts w:ascii="Times New Roman" w:hAnsi="Times New Roman" w:cs="Times New Roman"/>
          <w:rFonts w:ascii="Times New Roman" w:hAnsi="Times New Roman"/>
          <w:b/>
          <w:i w:val="0"/>
          <w:color w:val="000000"/>
          <w:sz w:val="24"/>
        </w:rPr>
        <w:t xml:space="preserve">• Phenomenon of Interest: </w:t>
      </w:r>
      <w:r>
        <w:rPr>
          <w:rFonts w:ascii="Times New Roman" w:hAnsi="Times New Roman" w:cs="Times New Roman"/>
          <w:rFonts w:ascii="Times New Roman" w:hAnsi="Times New Roman"/>
          <w:b w:val="0"/>
          <w:i w:val="0"/>
          <w:color w:val="00000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color w:val="000000"/>
          <w:sz w:val="24"/>
        </w:rPr>
        <w:t xml:space="preserve">• Design: </w:t>
      </w:r>
      <w:r>
        <w:rPr>
          <w:rFonts w:ascii="Times New Roman" w:hAnsi="Times New Roman" w:cs="Times New Roman"/>
          <w:rFonts w:ascii="Times New Roman" w:hAnsi="Times New Roman"/>
          <w:b w:val="0"/>
          <w:i w:val="0"/>
          <w:color w:val="00000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color w:val="000000"/>
          <w:sz w:val="24"/>
        </w:rPr>
        <w:t xml:space="preserve">• Evaluation: </w:t>
      </w:r>
      <w:r>
        <w:rPr>
          <w:rFonts w:ascii="Times New Roman" w:hAnsi="Times New Roman" w:cs="Times New Roman"/>
          <w:rFonts w:ascii="Times New Roman" w:hAnsi="Times New Roman"/>
          <w:b w:val="0"/>
          <w:i w:val="0"/>
          <w:color w:val="00000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color w:val="000000"/>
          <w:sz w:val="24"/>
        </w:rPr>
        <w:t xml:space="preserve">• Research type: </w:t>
      </w:r>
      <w:r>
        <w:rPr>
          <w:rFonts w:ascii="Times New Roman" w:hAnsi="Times New Roman" w:cs="Times New Roman"/>
          <w:rFonts w:ascii="Times New Roman" w:hAnsi="Times New Roman"/>
          <w:b w:val="0"/>
          <w:i w:val="0"/>
          <w:color w:val="00000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(Denniss et al., 2023; Li et al., 2024; Liu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pPr>
        <w:pStyle w:val="Heading2"/>
        <w:spacing w:before="240" w:after="120" w:line="360" w:lineRule="auto"/>
        <w:jc w:val="left"/>
      </w:pPr>
      <w:r>
        <w:rPr>
          <w:rFonts w:ascii="Times New Roman" w:hAnsi="Times New Roman" w:cs="Times New Roman"/>
          <w:rFonts w:ascii="Times New Roman" w:hAnsi="Times New Roman"/>
          <w:b/>
          <w:i w:val="0"/>
          <w:color w:val="00000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recent evidence showing that social-media-based health information can shape health behaviours while misinformation in these environments can undermine public trust and decision-making (Paul &amp; Headley-Johnson, 2025; Stimpson et al., 2025).</w:t>
      </w:r>
    </w:p>
    <w:p>
      <w:pPr>
        <w:pStyle w:val="Heading2"/>
        <w:spacing w:before="240" w:after="120" w:line="360" w:lineRule="auto"/>
        <w:jc w:val="left"/>
      </w:pPr>
      <w:r>
        <w:rPr>
          <w:rFonts w:ascii="Times New Roman" w:hAnsi="Times New Roman" w:cs="Times New Roman"/>
          <w:rFonts w:ascii="Times New Roman" w:hAnsi="Times New Roman"/>
          <w:b/>
          <w:i w:val="0"/>
          <w:color w:val="00000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sampling design targeted 200 content items from four digital platforms: traditional websites accessed through Google search (target n = 50), YouTube (target n = 50), TikTok (target n = 50), and Instagram (target n = 50). This target sample size was designed to provide balanced cross-platform coverage and is comparable to sample sizes commonly used in recent health-information quality studies and reviews of video-based and short-form social media content (Osman et al., 2022; Li et al., 2024). Following the post-collection audit, three TikTok records could not be verified against the raw captures and were excluded without replacement, yielding a final analytical sample of 197 items (50 websites, 50 YouTube videos, 47 TikTok videos, and 50 Instagram posts).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color w:val="00000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color w:val="00000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color w:val="00000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color w:val="00000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color w:val="00000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who predominantly access the first page or highest-ranked results (Pan et al., 2007). After the audit exclusions described above, the final analytical sample comprised 197 items.</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Inclusion criteria. </w:t>
      </w:r>
      <w:r>
        <w:rPr>
          <w:rFonts w:ascii="Times New Roman" w:hAnsi="Times New Roman" w:cs="Times New Roman"/>
          <w:rFonts w:ascii="Times New Roman" w:hAnsi="Times New Roman"/>
          <w:b w:val="0"/>
          <w:i w:val="0"/>
          <w:color w:val="00000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Exclusion criteria. </w:t>
      </w:r>
      <w:r>
        <w:rPr>
          <w:rFonts w:ascii="Times New Roman" w:hAnsi="Times New Roman" w:cs="Times New Roman"/>
          <w:rFonts w:ascii="Times New Roman" w:hAnsi="Times New Roman"/>
          <w:b w:val="0"/>
          <w:i w:val="0"/>
          <w:color w:val="00000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sampling frame. During the later audit, three TikTok records lacked verifiable raw-source support and were therefore removed without replacement.</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color w:val="000000"/>
          <w:sz w:val="24"/>
        </w:rPr>
        <w:t>Table 2.1</w:t>
      </w:r>
    </w:p>
    <w:p>
      <w:pPr>
        <w:spacing w:before="0" w:after="120" w:line="360" w:lineRule="auto"/>
        <w:jc w:val="left"/>
      </w:pPr>
      <w:r>
        <w:rPr>
          <w:rFonts w:ascii="Times New Roman" w:hAnsi="Times New Roman" w:cs="Times New Roman"/>
          <w:rFonts w:ascii="Times New Roman" w:hAnsi="Times New Roman"/>
          <w:b w:val="0"/>
          <w:i/>
          <w:color w:val="000000"/>
          <w:sz w:val="24"/>
        </w:rPr>
        <w:t>Planned Sampling Matrix: Target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color w:val="00000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color w:val="00000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color w:val="00000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color w:val="00000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color w:val="00000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color w:val="00000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color w:val="000000"/>
                <w:sz w:val="20"/>
              </w:rPr>
              <w:t>200</w:t>
            </w:r>
          </w:p>
        </w:tc>
      </w:tr>
    </w:tbl>
    <w:p>
      <w:pPr>
        <w:spacing w:before="60" w:after="240" w:line="240" w:lineRule="auto"/>
      </w:pPr>
      <w:r>
        <w:rPr>
          <w:rFonts w:ascii="Times New Roman" w:hAnsi="Times New Roman" w:cs="Times New Roman"/>
          <w:rFonts w:ascii="Times New Roman" w:hAnsi="Times New Roman"/>
          <w:b w:val="0"/>
          <w:i/>
          <w:color w:val="000000"/>
          <w:sz w:val="20"/>
        </w:rPr>
        <w:t xml:space="preserve">Note. </w:t>
      </w:r>
      <w:r>
        <w:rPr>
          <w:rFonts w:ascii="Times New Roman" w:hAnsi="Times New Roman" w:cs="Times New Roman"/>
          <w:rFonts w:ascii="Times New Roman" w:hAnsi="Times New Roman"/>
          <w:b w:val="0"/>
          <w:i w:val="0"/>
          <w:color w:val="000000"/>
          <w:sz w:val="20"/>
        </w:rPr>
        <w:t>Each cell represents the targeted number of content items per search term per platform. Planned collection frame N = 200; final audited analytical sample N = 197 after three TikTok exclusions.</w:t>
      </w:r>
    </w:p>
    <w:p>
      <w:pPr>
        <w:pStyle w:val="Heading2"/>
        <w:spacing w:before="240" w:after="120" w:line="360" w:lineRule="auto"/>
        <w:jc w:val="left"/>
      </w:pPr>
      <w:r>
        <w:rPr>
          <w:rFonts w:ascii="Times New Roman" w:hAnsi="Times New Roman" w:cs="Times New Roman"/>
          <w:rFonts w:ascii="Times New Roman" w:hAnsi="Times New Roman"/>
          <w:b/>
          <w:i w:val="0"/>
          <w:color w:val="000000"/>
          <w:sz w:val="24"/>
        </w:rPr>
        <w:t>2.5 Research Methods</w:t>
      </w:r>
    </w:p>
    <w:p>
      <w:pPr>
        <w:pStyle w:val="Heading3"/>
        <w:spacing w:before="160" w:after="120" w:line="360" w:lineRule="auto"/>
        <w:jc w:val="left"/>
      </w:pPr>
      <w:r>
        <w:rPr>
          <w:rFonts w:ascii="Times New Roman" w:hAnsi="Times New Roman" w:cs="Times New Roman"/>
          <w:rFonts w:ascii="Times New Roman" w:hAnsi="Times New Roman"/>
          <w:b/>
          <w:i w:val="0"/>
          <w:color w:val="00000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personalisation.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For TikTok and Instagram, this order of appearance was treated as an operational proxy for ranking position rather than a guaranteed ordinal rank list. Reposts, advertisements, pinned/promoted content, and duplicate items from the same creator for the same search term were excluded and replaced by the next sequential organic result during the initial collection stage.</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pStyle w:val="Heading3"/>
        <w:spacing w:before="160" w:after="120" w:line="360" w:lineRule="auto"/>
        <w:jc w:val="left"/>
      </w:pPr>
      <w:r>
        <w:rPr>
          <w:rFonts w:ascii="Times New Roman" w:hAnsi="Times New Roman" w:cs="Times New Roman"/>
          <w:rFonts w:ascii="Times New Roman" w:hAnsi="Times New Roman"/>
          <w:b/>
          <w:i w:val="0"/>
          <w:color w:val="00000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DISCERN Instrument. </w:t>
      </w:r>
      <w:r>
        <w:rPr>
          <w:rFonts w:ascii="Times New Roman" w:hAnsi="Times New Roman" w:cs="Times New Roman"/>
          <w:rFonts w:ascii="Times New Roman" w:hAnsi="Times New Roman"/>
          <w:b w:val="0"/>
          <w:i w:val="0"/>
          <w:color w:val="00000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recommendations, consistent with recent studies examining health-related video and short-form social-media content (Kong et al., 2021; Li et al., 2024).</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Scoring was restricted to information visible to a typical user at the point of access. For websites, raters assessed the full article text and any immediately visible source, date, and 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the conservative lower score was retained.</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color w:val="000000"/>
          <w:sz w:val="24"/>
        </w:rPr>
        <w:t>Table 2.2</w:t>
      </w:r>
    </w:p>
    <w:p>
      <w:pPr>
        <w:spacing w:before="0" w:after="120" w:line="360" w:lineRule="auto"/>
        <w:jc w:val="left"/>
      </w:pPr>
      <w:r>
        <w:rPr>
          <w:rFonts w:ascii="Times New Roman" w:hAnsi="Times New Roman" w:cs="Times New Roman"/>
          <w:rFonts w:ascii="Times New Roman" w:hAnsi="Times New Roman"/>
          <w:b w:val="0"/>
          <w:i/>
          <w:color w:val="000000"/>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color w:val="00000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color w:val="00000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color w:val="00000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color w:val="000000"/>
          <w:sz w:val="20"/>
        </w:rPr>
        <w:t xml:space="preserve">Note. </w:t>
      </w:r>
      <w:r>
        <w:rPr>
          <w:rFonts w:ascii="Times New Roman" w:hAnsi="Times New Roman" w:cs="Times New Roman"/>
          <w:rFonts w:ascii="Times New Roman" w:hAnsi="Times New Roman"/>
          <w:b w:val="0"/>
          <w:i w:val="0"/>
          <w:color w:val="00000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JAMA Benchmarks. </w:t>
      </w:r>
      <w:r>
        <w:rPr>
          <w:rFonts w:ascii="Times New Roman" w:hAnsi="Times New Roman" w:cs="Times New Roman"/>
          <w:rFonts w:ascii="Times New Roman" w:hAnsi="Times New Roman"/>
          <w:b w:val="0"/>
          <w:i w:val="0"/>
          <w:color w:val="00000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To apply the JAMA benchmarks to social media content, which differs substantially in format from traditional web-based health information, the criteria were operationalised as described in Table 2.3. This operationalisation draws on approaches reported in recent research and reviews assessing YouTube and TikTok health content (Osman et al., 2022; Li et al., 2024).</w:t>
      </w:r>
    </w:p>
    <w:p>
      <w:pPr>
        <w:spacing w:before="240" w:after="0" w:line="360" w:lineRule="auto"/>
        <w:jc w:val="left"/>
      </w:pPr>
      <w:r>
        <w:rPr>
          <w:rFonts w:ascii="Times New Roman" w:hAnsi="Times New Roman" w:cs="Times New Roman"/>
          <w:rFonts w:ascii="Times New Roman" w:hAnsi="Times New Roman"/>
          <w:b/>
          <w:i w:val="0"/>
          <w:color w:val="000000"/>
          <w:sz w:val="24"/>
        </w:rPr>
        <w:t>Table 2.3</w:t>
      </w:r>
    </w:p>
    <w:p>
      <w:pPr>
        <w:spacing w:before="0" w:after="120" w:line="360" w:lineRule="auto"/>
        <w:jc w:val="left"/>
      </w:pPr>
      <w:r>
        <w:rPr>
          <w:rFonts w:ascii="Times New Roman" w:hAnsi="Times New Roman" w:cs="Times New Roman"/>
          <w:rFonts w:ascii="Times New Roman" w:hAnsi="Times New Roman"/>
          <w:b w:val="0"/>
          <w:i/>
          <w:color w:val="000000"/>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color w:val="00000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color w:val="00000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color w:val="00000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color w:val="00000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color w:val="00000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color w:val="00000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color w:val="00000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color w:val="00000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color w:val="00000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color w:val="00000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color w:val="000000"/>
          <w:sz w:val="20"/>
        </w:rPr>
        <w:t xml:space="preserve">Note. </w:t>
      </w:r>
      <w:r>
        <w:rPr>
          <w:rFonts w:ascii="Times New Roman" w:hAnsi="Times New Roman" w:cs="Times New Roman"/>
          <w:rFonts w:ascii="Times New Roman" w:hAnsi="Times New Roman"/>
          <w:b w:val="0"/>
          <w:i w:val="0"/>
          <w:color w:val="00000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pStyle w:val="Heading3"/>
        <w:spacing w:before="160" w:after="120" w:line="360" w:lineRule="auto"/>
        <w:jc w:val="left"/>
      </w:pPr>
      <w:r>
        <w:rPr>
          <w:rFonts w:ascii="Times New Roman" w:hAnsi="Times New Roman" w:cs="Times New Roman"/>
          <w:rFonts w:ascii="Times New Roman" w:hAnsi="Times New Roman"/>
          <w:b/>
          <w:i w:val="0"/>
          <w:color w:val="00000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Creator type classification. </w:t>
      </w:r>
      <w:r>
        <w:rPr>
          <w:rFonts w:ascii="Times New Roman" w:hAnsi="Times New Roman" w:cs="Times New Roman"/>
          <w:rFonts w:ascii="Times New Roman" w:hAnsi="Times New Roman"/>
          <w:b w:val="0"/>
          <w:i w:val="0"/>
          <w:color w:val="00000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informed by recent reviews of creator typologies in YouTube, TikTok, and broader social-media health content (Osman et al., 2022; Li et al., 2024; Thomas et al., 2025).</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Engagement metrics. </w:t>
      </w:r>
      <w:r>
        <w:rPr>
          <w:rFonts w:ascii="Times New Roman" w:hAnsi="Times New Roman" w:cs="Times New Roman"/>
          <w:rFonts w:ascii="Times New Roman" w:hAnsi="Times New Roman"/>
          <w:b w:val="0"/>
          <w:i w:val="0"/>
          <w:color w:val="00000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Content format. </w:t>
      </w:r>
      <w:r>
        <w:rPr>
          <w:rFonts w:ascii="Times New Roman" w:hAnsi="Times New Roman" w:cs="Times New Roman"/>
          <w:rFonts w:ascii="Times New Roman" w:hAnsi="Times New Roman"/>
          <w:b w:val="0"/>
          <w:i w:val="0"/>
          <w:color w:val="00000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pStyle w:val="Heading2"/>
        <w:spacing w:before="240" w:after="120" w:line="360" w:lineRule="auto"/>
        <w:jc w:val="left"/>
      </w:pPr>
      <w:r>
        <w:rPr>
          <w:rFonts w:ascii="Times New Roman" w:hAnsi="Times New Roman" w:cs="Times New Roman"/>
          <w:rFonts w:ascii="Times New Roman" w:hAnsi="Times New Roman"/>
          <w:b/>
          <w:i w:val="0"/>
          <w:color w:val="00000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Phase 1: Automated data collection (Day 1). </w:t>
      </w:r>
      <w:r>
        <w:rPr>
          <w:rFonts w:ascii="Times New Roman" w:hAnsi="Times New Roman" w:cs="Times New Roman"/>
          <w:rFonts w:ascii="Times New Roman" w:hAnsi="Times New Roman"/>
          <w:b w:val="0"/>
          <w:i w:val="0"/>
          <w:color w:val="00000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Phase 2: Manual data collection (Days 1–2). </w:t>
      </w:r>
      <w:r>
        <w:rPr>
          <w:rFonts w:ascii="Times New Roman" w:hAnsi="Times New Roman" w:cs="Times New Roman"/>
          <w:rFonts w:ascii="Times New Roman" w:hAnsi="Times New Roman"/>
          <w:b w:val="0"/>
          <w:i w:val="0"/>
          <w:color w:val="00000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Pilot scoring. </w:t>
      </w:r>
      <w:r>
        <w:rPr>
          <w:rFonts w:ascii="Times New Roman" w:hAnsi="Times New Roman" w:cs="Times New Roman"/>
          <w:rFonts w:ascii="Times New Roman" w:hAnsi="Times New Roman"/>
          <w:b w:val="0"/>
          <w:i w:val="0"/>
          <w:color w:val="000000"/>
          <w:sz w:val="24"/>
        </w:rPr>
        <w:t>Prior to the full assessment, the primary researcher conducted a pilot scoring exercise on 10 content items (2–3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Phase 3: Primary quality assessment. </w:t>
      </w:r>
      <w:r>
        <w:rPr>
          <w:rFonts w:ascii="Times New Roman" w:hAnsi="Times New Roman" w:cs="Times New Roman"/>
          <w:rFonts w:ascii="Times New Roman" w:hAnsi="Times New Roman"/>
          <w:b w:val="0"/>
          <w:i w:val="0"/>
          <w:color w:val="000000"/>
          <w:sz w:val="24"/>
        </w:rPr>
        <w:t>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Phase 4: Second rater assessment. </w:t>
      </w:r>
      <w:r>
        <w:rPr>
          <w:rFonts w:ascii="Times New Roman" w:hAnsi="Times New Roman" w:cs="Times New Roman"/>
          <w:rFonts w:ascii="Times New Roman" w:hAnsi="Times New Roman"/>
          <w:b w:val="0"/>
          <w:i w:val="0"/>
          <w:color w:val="000000"/>
          <w:sz w:val="24"/>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final sample) with discussion of discrepancies. The second rater was then provided with the same scoring guidelines, quick-reference card, and worked examples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Phase 5: Inter-rater reliability assessment. </w:t>
      </w:r>
      <w:r>
        <w:rPr>
          <w:rFonts w:ascii="Times New Roman" w:hAnsi="Times New Roman" w:cs="Times New Roman"/>
          <w:rFonts w:ascii="Times New Roman" w:hAnsi="Times New Roman"/>
          <w:b w:val="0"/>
          <w:i w:val="0"/>
          <w:color w:val="00000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Phase 6: Statistical analysis. </w:t>
      </w:r>
      <w:r>
        <w:rPr>
          <w:rFonts w:ascii="Times New Roman" w:hAnsi="Times New Roman" w:cs="Times New Roman"/>
          <w:rFonts w:ascii="Times New Roman" w:hAnsi="Times New Roman"/>
          <w:b w:val="0"/>
          <w:i w:val="0"/>
          <w:color w:val="00000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color w:val="000000"/>
          <w:sz w:val="24"/>
        </w:rPr>
      </w:r>
    </w:p>
    <w:p>
      <w:pPr>
        <w:spacing w:before="240" w:after="0" w:line="360" w:lineRule="auto"/>
        <w:jc w:val="center"/>
      </w:pPr>
      <w:r>
        <w:rPr>
          <w:rFonts w:ascii="Times New Roman" w:hAnsi="Times New Roman" w:cs="Times New Roman"/>
          <w:rFonts w:ascii="Times New Roman" w:hAnsi="Times New Roman"/>
          <w:b/>
          <w:i w:val="0"/>
          <w:color w:val="000000"/>
          <w:sz w:val="24"/>
        </w:rPr>
        <w:t>Figure 2.1</w:t>
      </w:r>
    </w:p>
    <w:p>
      <w:pPr>
        <w:spacing w:before="0" w:after="120" w:line="360" w:lineRule="auto"/>
        <w:jc w:val="center"/>
      </w:pPr>
      <w:r>
        <w:rPr>
          <w:rFonts w:ascii="Times New Roman" w:hAnsi="Times New Roman" w:cs="Times New Roman"/>
          <w:rFonts w:ascii="Times New Roman" w:hAnsi="Times New Roman"/>
          <w:b w:val="0"/>
          <w:i/>
          <w:color w:val="000000"/>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color w:val="00000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color w:val="00000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color w:val="00000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color w:val="00000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color w:val="000000"/>
                <w:sz w:val="20"/>
              </w:rPr>
              <w:t>Phase 3: Primary DISCERN &amp; JAMA Assessment</w:t>
              <w:br/>
              <w:t>(Final audited N = 197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color w:val="00000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color w:val="00000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color w:val="00000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color w:val="00000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color w:val="00000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color w:val="000000"/>
                <w:sz w:val="20"/>
              </w:rPr>
              <w:t>Phase 6: Statistical Analysis</w:t>
              <w:br/>
              <w:t>(Python 3.13 with SciPy, pingouin, matplotlib/seaborn)</w:t>
            </w:r>
          </w:p>
        </w:tc>
      </w:tr>
    </w:tbl>
    <w:p>
      <w:pPr>
        <w:spacing w:before="60" w:after="240" w:line="240" w:lineRule="auto"/>
        <w:jc w:val="center"/>
      </w:pPr>
      <w:r>
        <w:rPr>
          <w:rFonts w:ascii="Times New Roman" w:hAnsi="Times New Roman" w:cs="Times New Roman"/>
          <w:rFonts w:ascii="Times New Roman" w:hAnsi="Times New Roman"/>
          <w:b w:val="0"/>
          <w:i/>
          <w:color w:val="000000"/>
          <w:sz w:val="20"/>
        </w:rPr>
        <w:t xml:space="preserve">Note. </w:t>
      </w:r>
      <w:r>
        <w:rPr>
          <w:rFonts w:ascii="Times New Roman" w:hAnsi="Times New Roman" w:cs="Times New Roman"/>
          <w:rFonts w:ascii="Times New Roman" w:hAnsi="Times New Roman"/>
          <w:b w:val="0"/>
          <w:i w:val="0"/>
          <w:color w:val="000000"/>
          <w:sz w:val="20"/>
        </w:rPr>
        <w:t>The research process proceeded sequentially through six phases over the study period (February–March 2026).</w:t>
      </w:r>
    </w:p>
    <w:p>
      <w:pPr>
        <w:pStyle w:val="Heading3"/>
        <w:spacing w:before="160" w:after="120" w:line="360" w:lineRule="auto"/>
        <w:jc w:val="left"/>
      </w:pPr>
      <w:r>
        <w:rPr>
          <w:rFonts w:ascii="Times New Roman" w:hAnsi="Times New Roman" w:cs="Times New Roman"/>
          <w:rFonts w:ascii="Times New Roman" w:hAnsi="Times New Roman"/>
          <w:b/>
          <w:i w:val="0"/>
          <w:color w:val="00000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pPr>
        <w:pStyle w:val="Heading2"/>
        <w:spacing w:before="240" w:after="120" w:line="360" w:lineRule="auto"/>
        <w:jc w:val="left"/>
      </w:pPr>
      <w:r>
        <w:rPr>
          <w:rFonts w:ascii="Times New Roman" w:hAnsi="Times New Roman" w:cs="Times New Roman"/>
          <w:rFonts w:ascii="Times New Roman" w:hAnsi="Times New Roman"/>
          <w:b/>
          <w:i w:val="0"/>
          <w:color w:val="00000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pStyle w:val="Heading3"/>
        <w:spacing w:before="160" w:after="120" w:line="360" w:lineRule="auto"/>
        <w:jc w:val="left"/>
      </w:pPr>
      <w:r>
        <w:rPr>
          <w:rFonts w:ascii="Times New Roman" w:hAnsi="Times New Roman" w:cs="Times New Roman"/>
          <w:rFonts w:ascii="Times New Roman" w:hAnsi="Times New Roman"/>
          <w:b/>
          <w:i w:val="0"/>
          <w:color w:val="00000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pStyle w:val="Heading3"/>
        <w:spacing w:before="160" w:after="120" w:line="360" w:lineRule="auto"/>
        <w:jc w:val="left"/>
      </w:pPr>
      <w:r>
        <w:rPr>
          <w:rFonts w:ascii="Times New Roman" w:hAnsi="Times New Roman" w:cs="Times New Roman"/>
          <w:rFonts w:ascii="Times New Roman" w:hAnsi="Times New Roman"/>
          <w:b/>
          <w:i w:val="0"/>
          <w:color w:val="00000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pStyle w:val="Heading3"/>
        <w:spacing w:before="160" w:after="120" w:line="360" w:lineRule="auto"/>
        <w:jc w:val="left"/>
      </w:pPr>
      <w:r>
        <w:rPr>
          <w:rFonts w:ascii="Times New Roman" w:hAnsi="Times New Roman" w:cs="Times New Roman"/>
          <w:rFonts w:ascii="Times New Roman" w:hAnsi="Times New Roman"/>
          <w:b/>
          <w:i w:val="0"/>
          <w:color w:val="00000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Non-parametric statistical tests were selected as the primary inferential methods due to the ordinal nature of DISCERN scores and the anticipated non-normal distribution of quality data, consistent with methodological recommendations for analysing Likert-type rating scales (Sullivan &amp; Artino, 2013).</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Platform comparisons of DISCERN scores. </w:t>
      </w:r>
      <w:r>
        <w:rPr>
          <w:rFonts w:ascii="Times New Roman" w:hAnsi="Times New Roman" w:cs="Times New Roman"/>
          <w:rFonts w:ascii="Times New Roman" w:hAnsi="Times New Roman"/>
          <w:b w:val="0"/>
          <w:i w:val="0"/>
          <w:color w:val="000000"/>
          <w:sz w:val="24"/>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Kruskal-Wallis comparisons. This value should be interpreted cautiously as an index of distributional separation rather than a literal proportion of explained variance;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Platform comparisons of JAMA compliance. </w:t>
      </w:r>
      <w:r>
        <w:rPr>
          <w:rFonts w:ascii="Times New Roman" w:hAnsi="Times New Roman" w:cs="Times New Roman"/>
          <w:rFonts w:ascii="Times New Roman" w:hAnsi="Times New Roman"/>
          <w:b w:val="0"/>
          <w:i w:val="0"/>
          <w:color w:val="00000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Creator type and quality scores. </w:t>
      </w:r>
      <w:r>
        <w:rPr>
          <w:rFonts w:ascii="Times New Roman" w:hAnsi="Times New Roman" w:cs="Times New Roman"/>
          <w:rFonts w:ascii="Times New Roman" w:hAnsi="Times New Roman"/>
          <w:b w:val="0"/>
          <w:i w:val="0"/>
          <w:color w:val="00000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(r_rb),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color w:val="000000"/>
          <w:sz w:val="24"/>
        </w:rPr>
        <w:t xml:space="preserve">Engagement metrics and information quality. </w:t>
      </w:r>
      <w:r>
        <w:rPr>
          <w:rFonts w:ascii="Times New Roman" w:hAnsi="Times New Roman" w:cs="Times New Roman"/>
          <w:rFonts w:ascii="Times New Roman" w:hAnsi="Times New Roman"/>
          <w:b w:val="0"/>
          <w:i w:val="0"/>
          <w:color w:val="00000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color w:val="00000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color w:val="000000"/>
          <w:sz w:val="24"/>
        </w:rPr>
        <w:t>Table 2.4</w:t>
      </w:r>
    </w:p>
    <w:p>
      <w:pPr>
        <w:spacing w:before="0" w:after="120" w:line="360" w:lineRule="auto"/>
        <w:jc w:val="left"/>
      </w:pPr>
      <w:r>
        <w:rPr>
          <w:rFonts w:ascii="Times New Roman" w:hAnsi="Times New Roman" w:cs="Times New Roman"/>
          <w:rFonts w:ascii="Times New Roman" w:hAnsi="Times New Roman"/>
          <w:b w:val="0"/>
          <w:i/>
          <w:color w:val="000000"/>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color w:val="00000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color w:val="00000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color w:val="00000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color w:val="00000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color w:val="00000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color w:val="00000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color w:val="000000"/>
                <w:sz w:val="18"/>
              </w:rPr>
              <w:t>Kruskal-Wallis H test (DISCERN)</w:t>
              <w:br/>
              <w:t>Pairwise Mann-Whitney U with Bonferroni</w:t>
              <w:br/>
              <w:t>χ² / Fisher’s exact test (JAMA)</w:t>
              <w:br/>
              <w:t>Effect sizes: eta-squared approximation,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color w:val="00000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color w:val="00000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color w:val="00000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color w:val="00000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color w:val="00000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color w:val="00000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color w:val="00000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color w:val="00000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color w:val="00000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color w:val="00000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color w:val="00000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color w:val="00000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color w:val="00000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color w:val="000000"/>
          <w:sz w:val="20"/>
        </w:rPr>
        <w:t xml:space="preserve">Note. </w:t>
      </w:r>
      <w:r>
        <w:rPr>
          <w:rFonts w:ascii="Times New Roman" w:hAnsi="Times New Roman" w:cs="Times New Roman"/>
          <w:rFonts w:ascii="Times New Roman" w:hAnsi="Times New Roman"/>
          <w:b w:val="0"/>
          <w:i w:val="0"/>
          <w:color w:val="000000"/>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color w:val="00000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