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line="360" w:lineRule="auto" w:after="240" w:before="0"/>
        <w:jc w:val="both"/>
      </w:pPr>
      <w:r>
        <w:rPr>
          <w:rFonts w:ascii="Times New Roman" w:hAnsi="Times New Roman" w:cs="Times New Roman"/>
          <w:b/>
          <w:i w:val="0"/>
          <w:color w:val="000000"/>
          <w:sz w:val="28"/>
        </w:rPr>
        <w:t>CHAPTER 4. CONSIDERATIONS</w:t>
      </w:r>
    </w:p>
    <w:p>
      <w:pPr>
        <w:pStyle w:val="Heading2"/>
        <w:spacing w:line="360" w:lineRule="auto" w:after="200" w:before="0"/>
        <w:jc w:val="both"/>
      </w:pPr>
      <w:r>
        <w:rPr>
          <w:rFonts w:ascii="Times New Roman" w:hAnsi="Times New Roman" w:cs="Times New Roman"/>
          <w:b/>
          <w:i w:val="0"/>
          <w:color w:val="000000"/>
          <w:sz w:val="26"/>
        </w:rPr>
        <w:t>4.1 Summary of Key Findings</w:t>
      </w:r>
    </w:p>
    <w:p>
      <w:pPr>
        <w:spacing w:line="360" w:lineRule="auto" w:after="120" w:before="0"/>
        <w:jc w:val="both"/>
      </w:pPr>
      <w:r>
        <w:rPr>
          <w:rFonts w:ascii="Times New Roman" w:hAnsi="Times New Roman" w:cs="Times New Roman"/>
          <w:b w:val="0"/>
          <w:i w:val="0"/>
          <w:color w:val="000000"/>
          <w:sz w:val="24"/>
        </w:rPr>
        <w:t>This cross-sectional content analysis evaluated the quality of physical activity information across four platform types using the DISCERN instrument and JAMA benchmarks. The results reveal a clear and statistically significant quality gradient: traditional websites scored highest (Mdn = 48.5), followed by YouTube (Mdn = 42.0), TikTok (Mdn = 35.0), and Instagram (Mdn = 27.5). The Kruskal-Wallis test confirmed significant differences across platforms, H(3) = 93.489, p &lt; .001, with a large eta-squared approximation (0.469). All six pairwise comparisons were statistically significant, although the Website versus YouTube contrast yielded a notably smaller effect (p = .038, r_rb = −0.316) compared with the other five pairs (all p &lt; .001).</w:t>
      </w:r>
    </w:p>
    <w:p>
      <w:pPr>
        <w:spacing w:line="360" w:lineRule="auto" w:after="120" w:before="0"/>
        <w:jc w:val="both"/>
      </w:pPr>
      <w:r>
        <w:rPr>
          <w:rFonts w:ascii="Times New Roman" w:hAnsi="Times New Roman" w:cs="Times New Roman"/>
          <w:b w:val="0"/>
          <w:i w:val="0"/>
          <w:color w:val="000000"/>
          <w:sz w:val="24"/>
        </w:rPr>
        <w:t>JAMA benchmark compliance did not differ significantly across platforms when aggregated (H[3] = 5.123, p = .163), though significant platform differences emerged for individual criteria—Attribution, Disclosure, and Currency—but not Authorship. Creator type exerted a significant effect on quality in the binary analysis (p = .036), and the five-category Kruskal-Wallis test was also significant (p = .012). Engagement–quality correlations were largely non-significant within platforms, except for YouTube, where both views and likes showed significant negative correlations with quality; the overall positive correlation between likes and quality across social-media items was identified as primarily a Simpson's paradox artefact of between-social-platform differences.</w:t>
      </w:r>
    </w:p>
    <w:p>
      <w:pPr>
        <w:pStyle w:val="Heading2"/>
        <w:spacing w:line="360" w:lineRule="auto" w:after="200" w:before="0"/>
        <w:jc w:val="both"/>
      </w:pPr>
      <w:r>
        <w:rPr>
          <w:rFonts w:ascii="Times New Roman" w:hAnsi="Times New Roman" w:cs="Times New Roman"/>
          <w:b/>
          <w:i w:val="0"/>
          <w:color w:val="000000"/>
          <w:sz w:val="26"/>
        </w:rPr>
        <w:t>4.2 Comparison with Existing Literature</w:t>
      </w:r>
    </w:p>
    <w:p>
      <w:pPr>
        <w:spacing w:line="360" w:lineRule="auto" w:after="120" w:before="0"/>
        <w:jc w:val="both"/>
      </w:pPr>
      <w:r>
        <w:rPr>
          <w:rFonts w:ascii="Times New Roman" w:hAnsi="Times New Roman" w:cs="Times New Roman"/>
          <w:b w:val="0"/>
          <w:i w:val="0"/>
          <w:color w:val="000000"/>
          <w:sz w:val="24"/>
        </w:rPr>
        <w:t>The finding that traditional websites outperform social media platforms in health information quality is consistent with a substantial body of prior research. The 2025 JMIR meta-analysis reported a pooled percentage-standardised DISCERN score of 43.58% (95% CI [37.80%, 49.35%]) across studies evaluating cancer-related information on new media (Liu et al., 2025). Direct numerical comparison with the present study's raw DISCERN totals (scored out of 80) is not appropriate because the meta-analysis synthesised percentage-standardised scores across heterogeneous studies. Even so, the present findings are directionally consistent with that literature, particularly in showing lower quality for highly visual or video-led social media formats than for websites and longer-form content.</w:t>
      </w:r>
    </w:p>
    <w:p>
      <w:pPr>
        <w:spacing w:line="360" w:lineRule="auto" w:after="120" w:before="0"/>
        <w:jc w:val="both"/>
      </w:pPr>
      <w:r>
        <w:rPr>
          <w:rFonts w:ascii="Times New Roman" w:hAnsi="Times New Roman" w:cs="Times New Roman"/>
          <w:b w:val="0"/>
          <w:i w:val="0"/>
          <w:color w:val="000000"/>
          <w:sz w:val="24"/>
        </w:rPr>
        <w:t>The Instagram findings are particularly noteworthy. With 42% of items falling in the 'very poor' category and a median DISCERN score of 27.5, Instagram emerged as the lowest-quality platform by a substantial margin. This aligns with the broader pattern described by Li et al. (2024), who found that most TikTok health-related short videos were of moderate to low quality and that medically credentialed creators typically represented only a minority of content producers, and with Haghighi and Farhadloo (2025), who reported that 81% of Twitter health information was of low quality, with 95% of items meeting two or fewer JAMA criteria. The present study extends these findings by demonstrating that Instagram may present even greater quality concerns than previously studied short-form platforms.</w:t>
      </w:r>
    </w:p>
    <w:p>
      <w:pPr>
        <w:spacing w:line="360" w:lineRule="auto" w:after="120" w:before="0"/>
        <w:jc w:val="both"/>
      </w:pPr>
      <w:r>
        <w:rPr>
          <w:rFonts w:ascii="Times New Roman" w:hAnsi="Times New Roman" w:cs="Times New Roman"/>
          <w:b w:val="0"/>
          <w:i w:val="0"/>
          <w:color w:val="000000"/>
          <w:sz w:val="24"/>
        </w:rPr>
        <w:t>The relatively modest difference between websites and YouTube (median difference of 6.5 points, p = .038) is an important nuance. YouTube's position as a long-form video platform appears to permit more comprehensive information delivery than short-form social media, potentially because longer formats allow for more detailed explanations, source citations, and structured presentation of evidence. This finding is consistent with more recent review evidence showing that longer-form health videos tend to permit greater informational completeness than short-form social-media content (Osman et al., 2022; Rodriguez-Rodriguez et al., 2022).</w:t>
      </w:r>
    </w:p>
    <w:p>
      <w:pPr>
        <w:spacing w:line="360" w:lineRule="auto" w:after="120" w:before="0"/>
        <w:jc w:val="both"/>
      </w:pPr>
      <w:r>
        <w:rPr>
          <w:rFonts w:ascii="Times New Roman" w:hAnsi="Times New Roman" w:cs="Times New Roman"/>
          <w:b w:val="0"/>
          <w:i w:val="0"/>
          <w:color w:val="000000"/>
          <w:sz w:val="24"/>
        </w:rPr>
        <w:t>The non-significant JAMA aggregate result (p = .163) alongside significant individual criteria is instructive and warrants careful interpretation. Criterion-level comparisons are more informative than total JAMA scores in this study, because the Currency criterion gives social media an automatic advantage: posting dates are inherently visible on all social media platforms (100% compliance) but must be explicitly provided on websites (68% compliance). This means total JAMA scores partly reflect platform interface design rather than editorial accountability. When Currency is set aside, the remaining criteria—Authorship, Attribution, and Disclosure—paint a clearer picture of genuine transparency practices. Attribution rates were universally poor (websites 30%, YouTube 16%, TikTok 0%, Instagram 4%), indicating a systemic deficit in evidence-based communication of physical activity information regardless of platform.</w:t>
      </w:r>
    </w:p>
    <w:p>
      <w:pPr>
        <w:spacing w:line="360" w:lineRule="auto" w:after="120" w:before="0"/>
        <w:jc w:val="both"/>
      </w:pPr>
      <w:r>
        <w:rPr>
          <w:rFonts w:ascii="Times New Roman" w:hAnsi="Times New Roman" w:cs="Times New Roman"/>
          <w:b w:val="0"/>
          <w:i w:val="0"/>
          <w:color w:val="000000"/>
          <w:sz w:val="24"/>
        </w:rPr>
        <w:t>The significant variation in quality across search terms (H[4] = 27.255, p &lt; .001) is a secondary finding that merits attention. The query ‘how to start exercising’ retrieved the highest-quality content, while ‘home workout routine’ retrieved the lowest-quality content. This likely reflects differences in the clinical relevance and specificity of queries: more general health-oriented terms may retrieve content from authoritative institutional sources, whereas commercially oriented terms such as ‘home workout routine’ may disproportionately surface influencer-generated content. This finding suggests that the search query itself functions as an implicit filter on information quality, with practical implications for how public health practitioners frame their recommendations to information-seeking audiences.</w:t>
      </w:r>
    </w:p>
    <w:p>
      <w:pPr>
        <w:pStyle w:val="Heading2"/>
        <w:spacing w:line="360" w:lineRule="auto" w:after="200" w:before="0"/>
        <w:jc w:val="both"/>
      </w:pPr>
      <w:r>
        <w:rPr>
          <w:rFonts w:ascii="Times New Roman" w:hAnsi="Times New Roman" w:cs="Times New Roman"/>
          <w:b/>
          <w:i w:val="0"/>
          <w:color w:val="000000"/>
          <w:sz w:val="26"/>
        </w:rPr>
        <w:t>4.3 Implications for Public Health Practice</w:t>
      </w:r>
    </w:p>
    <w:p>
      <w:pPr>
        <w:spacing w:line="360" w:lineRule="auto" w:after="120" w:before="0"/>
        <w:jc w:val="both"/>
      </w:pPr>
      <w:r>
        <w:rPr>
          <w:rFonts w:ascii="Times New Roman" w:hAnsi="Times New Roman" w:cs="Times New Roman"/>
          <w:b w:val="0"/>
          <w:i w:val="0"/>
          <w:color w:val="000000"/>
          <w:sz w:val="24"/>
        </w:rPr>
        <w:t>These findings carry several implications for public health practice. First, the pronounced quality gradient across platforms suggests that public health agencies should prioritise maintaining high-quality website content as an anchor for physical activity information, while simultaneously investing in platform-native content for social media. Simply repurposing website content for Instagram or TikTok is unlikely to be effective; instead, organisations should develop format-specific strategies that maximise information quality within the constraints of each platform.</w:t>
      </w:r>
    </w:p>
    <w:p>
      <w:pPr>
        <w:spacing w:line="360" w:lineRule="auto" w:after="120" w:before="0"/>
        <w:jc w:val="both"/>
      </w:pPr>
      <w:r>
        <w:rPr>
          <w:rFonts w:ascii="Times New Roman" w:hAnsi="Times New Roman" w:cs="Times New Roman"/>
          <w:b w:val="0"/>
          <w:i w:val="0"/>
          <w:color w:val="000000"/>
          <w:sz w:val="24"/>
        </w:rPr>
        <w:t>Second, the finding that engagement metrics largely do not predict quality within platforms undermines the common assumption that popular content is reliable content. This has implications for health literacy education: consumers should be taught that high view counts and engagement do not signal information trustworthiness. Notably, within YouTube, both views and likes showed significant negative correlations with quality (views: rho = -0.340, p = .016; likes: rho = -0.286, p = .044), suggesting that the platform’s recommendation system may actively promote lower-quality physical activity content. This is a concerning finding that warrants dedicated algorithmic audit research, though the cross-sectional design cannot establish causality.</w:t>
      </w:r>
    </w:p>
    <w:p>
      <w:pPr>
        <w:spacing w:line="360" w:lineRule="auto" w:after="120" w:before="0"/>
        <w:jc w:val="both"/>
      </w:pPr>
      <w:r>
        <w:rPr>
          <w:rFonts w:ascii="Times New Roman" w:hAnsi="Times New Roman" w:cs="Times New Roman"/>
          <w:b w:val="0"/>
          <w:i w:val="0"/>
          <w:color w:val="000000"/>
          <w:sz w:val="24"/>
        </w:rPr>
        <w:t>Third, the creator type analysis reveals that both the binary and five-category comparisons reached significance (p = .036 and p = .012, respectively). The five-category analysis provides the more granular picture: healthcare professionals score highest (Mdn = 45.0), followed by certified fitness professionals (Mdn = 39.5), organisations (Mdn = 39.0), fitness influencers (Mdn = 36.0), and general users lowest (Mdn = 33.0). This pattern suggests that creator type moderates quality in a graded fashion. The binary result, while significant, is somewhat diluted by grouping organisations (n = 84)—which include high-quality institutional sources such as NHS and WHO—into the non-professional category.</w:t>
      </w:r>
    </w:p>
    <w:p>
      <w:pPr>
        <w:pStyle w:val="Heading2"/>
        <w:spacing w:line="360" w:lineRule="auto" w:after="200" w:before="0"/>
        <w:jc w:val="both"/>
      </w:pPr>
      <w:r>
        <w:rPr>
          <w:rFonts w:ascii="Times New Roman" w:hAnsi="Times New Roman" w:cs="Times New Roman"/>
          <w:b/>
          <w:i w:val="0"/>
          <w:color w:val="000000"/>
          <w:sz w:val="26"/>
        </w:rPr>
        <w:t>4.4 Strengths of the Study</w:t>
      </w:r>
    </w:p>
    <w:p>
      <w:pPr>
        <w:spacing w:line="360" w:lineRule="auto" w:after="120" w:before="0"/>
        <w:jc w:val="both"/>
      </w:pPr>
      <w:r>
        <w:rPr>
          <w:rFonts w:ascii="Times New Roman" w:hAnsi="Times New Roman" w:cs="Times New Roman"/>
          <w:b w:val="0"/>
          <w:i w:val="0"/>
          <w:color w:val="000000"/>
          <w:sz w:val="24"/>
        </w:rPr>
        <w:t>This study possesses several methodological strengths. To our knowledge, it is among the first investigations to directly compare physical activity information quality across four distinct platform types—traditional websites, YouTube, TikTok, and Instagram—using both the DISCERN instrument and JAMA benchmarks within a single study. This multi-platform, dual-instrument approach provides a more comprehensive assessment than studies examining single platforms or single quality tools.</w:t>
      </w:r>
    </w:p>
    <w:p>
      <w:pPr>
        <w:spacing w:line="360" w:lineRule="auto" w:after="120" w:before="0"/>
        <w:jc w:val="both"/>
      </w:pPr>
      <w:r>
        <w:rPr>
          <w:rFonts w:ascii="Times New Roman" w:hAnsi="Times New Roman" w:cs="Times New Roman"/>
          <w:b w:val="0"/>
          <w:i w:val="0"/>
          <w:color w:val="000000"/>
          <w:sz w:val="24"/>
        </w:rPr>
        <w:t>The study employed a systematic sampling strategy with five distinct search terms representing common physical activity queries, enhancing ecological validity. The inter-rater reliability was excellent for DISCERN (ICC = 0.932), providing confidence in the scoring process. The sample of 197 items across four platforms is larger than many comparable studies, affording sufficient statistical power for the planned analyses. Furthermore, the operationalisation of DISCERN and JAMA criteria for social media contexts was documented transparently, enabling replication.</w:t>
      </w:r>
    </w:p>
    <w:p>
      <w:pPr>
        <w:pStyle w:val="Heading2"/>
        <w:spacing w:line="360" w:lineRule="auto" w:after="200" w:before="0"/>
        <w:jc w:val="both"/>
      </w:pPr>
      <w:r>
        <w:rPr>
          <w:rFonts w:ascii="Times New Roman" w:hAnsi="Times New Roman" w:cs="Times New Roman"/>
          <w:b/>
          <w:i w:val="0"/>
          <w:color w:val="000000"/>
          <w:sz w:val="26"/>
        </w:rPr>
        <w:t>4.5 Limitations</w:t>
      </w:r>
    </w:p>
    <w:p>
      <w:pPr>
        <w:spacing w:line="360" w:lineRule="auto" w:after="120" w:before="0"/>
        <w:jc w:val="both"/>
      </w:pPr>
      <w:r>
        <w:rPr>
          <w:rFonts w:ascii="Times New Roman" w:hAnsi="Times New Roman" w:cs="Times New Roman"/>
          <w:b w:val="0"/>
          <w:i w:val="0"/>
          <w:color w:val="000000"/>
          <w:sz w:val="24"/>
        </w:rPr>
        <w:t>Several limitations must be acknowledged. First, the cross-sectional design captures a single snapshot of online content, which may not reflect temporal trends in information quality. Platform algorithms, content policies, and user behaviour evolve rapidly, and findings may not generalise to other time points.</w:t>
      </w:r>
    </w:p>
    <w:p>
      <w:pPr>
        <w:spacing w:line="360" w:lineRule="auto" w:after="120" w:before="0"/>
        <w:jc w:val="both"/>
      </w:pPr>
      <w:r>
        <w:rPr>
          <w:rFonts w:ascii="Times New Roman" w:hAnsi="Times New Roman" w:cs="Times New Roman"/>
          <w:b w:val="0"/>
          <w:i w:val="0"/>
          <w:color w:val="000000"/>
          <w:sz w:val="24"/>
        </w:rPr>
        <w:t>Second, the study was restricted to English-language content retrieved from a single geographic location (Lithuania). Search results are personalised by location, language, and browsing history, meaning that users in other regions may encounter different content for identical search terms.</w:t>
      </w:r>
    </w:p>
    <w:p>
      <w:pPr>
        <w:spacing w:line="360" w:lineRule="auto" w:after="120" w:before="0"/>
        <w:jc w:val="both"/>
      </w:pPr>
      <w:r>
        <w:rPr>
          <w:rFonts w:ascii="Times New Roman" w:hAnsi="Times New Roman" w:cs="Times New Roman"/>
          <w:b w:val="0"/>
          <w:i w:val="0"/>
          <w:color w:val="000000"/>
          <w:sz w:val="24"/>
        </w:rPr>
        <w:t>Third, and critically, scoring of video and image-based content was restricted to information visible or audible to a typical user at the point of access, including spoken narration, on-screen text, captions, and profile metadata, rather than full transcription or frame-by-frame coding. This approach may still miss subtle cues or evidence embedded in longer viewing sessions. It is therefore important to acknowledge that the apparent quality gradient could partially reflect methodological differences in how text-based and audiovisual content were assessed rather than true differences in information quality.</w:t>
      </w:r>
    </w:p>
    <w:p>
      <w:pPr>
        <w:spacing w:line="360" w:lineRule="auto" w:after="120" w:before="0"/>
        <w:jc w:val="both"/>
      </w:pPr>
      <w:r>
        <w:rPr>
          <w:rFonts w:ascii="Times New Roman" w:hAnsi="Times New Roman" w:cs="Times New Roman"/>
          <w:b w:val="0"/>
          <w:i w:val="0"/>
          <w:color w:val="000000"/>
          <w:sz w:val="24"/>
        </w:rPr>
        <w:t>Fourth, data collection employed a mixed approach: Playwright automation was used for traditional websites and YouTube, while TikTok and Instagram content was collected manually due to platform restrictions on automated scraping. This introduces potential selection bias, as the manual collection process for TikTok and Instagram may have been influenced by factors not present in the automated approach, despite adherence to the same top-10 sampling protocol.</w:t>
      </w:r>
    </w:p>
    <w:p>
      <w:pPr>
        <w:spacing w:line="360" w:lineRule="auto" w:after="120" w:before="0"/>
        <w:jc w:val="both"/>
      </w:pPr>
      <w:r>
        <w:rPr>
          <w:rFonts w:ascii="Times New Roman" w:hAnsi="Times New Roman" w:cs="Times New Roman"/>
          <w:b w:val="0"/>
          <w:i w:val="0"/>
          <w:color w:val="000000"/>
          <w:sz w:val="24"/>
        </w:rPr>
        <w:t>Fifth, the top-10 sampling strategy, while ecologically valid (as most users do not scroll beyond the first page of results), captures only a fraction of available content. Results may differ for content appearing in later search positions. Additionally, the DISCERN instrument was originally developed for evaluating written treatment information for patients (Charnock et al., 1999) and has been adapted here beyond its original scope to evaluate physical activity content on social media. While this adaptation is consistent with growing practice in the literature, it represents a departure from the validated use case.</w:t>
      </w:r>
    </w:p>
    <w:p>
      <w:pPr>
        <w:spacing w:line="360" w:lineRule="auto" w:after="120" w:before="0"/>
        <w:jc w:val="both"/>
      </w:pPr>
      <w:r>
        <w:rPr>
          <w:rFonts w:ascii="Times New Roman" w:hAnsi="Times New Roman" w:cs="Times New Roman"/>
          <w:b w:val="0"/>
          <w:i w:val="0"/>
          <w:color w:val="000000"/>
          <w:sz w:val="24"/>
        </w:rPr>
        <w:t>Sixth, engagement metrics were not uniformly available across platforms. Traditional websites do not provide standardised engagement data (likes, shares), and the metrics that were available may not be comparable across platforms with different user bases and interaction paradigms.</w:t>
      </w:r>
    </w:p>
    <w:p>
      <w:pPr>
        <w:spacing w:line="360" w:lineRule="auto" w:after="120" w:before="0"/>
        <w:jc w:val="both"/>
      </w:pPr>
      <w:r>
        <w:rPr>
          <w:rFonts w:ascii="Times New Roman" w:hAnsi="Times New Roman" w:cs="Times New Roman"/>
          <w:b w:val="0"/>
          <w:i w:val="0"/>
          <w:color w:val="000000"/>
          <w:sz w:val="24"/>
        </w:rPr>
        <w:t>Seventh, the classification of organisations (n = 84, 42.6% of the sample) as 'non-professional' in the binary creator type analysis is analytically consequential. Many organisations (e.g., NHS, WHO, university hospitals) produce content overseen by healthcare professionals, meaning this classification likely diluted the professional category's apparent quality advantage. Future studies should consider more granular organisation subtyping.</w:t>
      </w:r>
    </w:p>
    <w:p>
      <w:pPr>
        <w:spacing w:line="360" w:lineRule="auto" w:after="120" w:before="0"/>
        <w:jc w:val="both"/>
      </w:pPr>
      <w:r>
        <w:rPr>
          <w:rFonts w:ascii="Times New Roman" w:hAnsi="Times New Roman" w:cs="Times New Roman"/>
          <w:b w:val="0"/>
          <w:i w:val="0"/>
          <w:color w:val="000000"/>
          <w:sz w:val="24"/>
        </w:rPr>
        <w:t>Eighth, the DISCERN quality categories used in this study (Very Poor 16–26, Poor 27–38, Fair 39–50, Good 51–62, Excellent 63–80) are commonly adopted thresholds in the health information quality literature but were not specified in the original DISCERN validation by Charnock et al. (1999); one recent example using the same cut-points is Sun et al. (2023). These cut-points have been adopted from subsequent studies and should be treated as conventional rather than formally validated boundaries.</w:t>
      </w:r>
    </w:p>
    <w:p>
      <w:pPr>
        <w:pStyle w:val="Heading2"/>
        <w:spacing w:line="360" w:lineRule="auto" w:after="200" w:before="0"/>
        <w:jc w:val="both"/>
      </w:pPr>
      <w:r>
        <w:rPr>
          <w:rFonts w:ascii="Times New Roman" w:hAnsi="Times New Roman" w:cs="Times New Roman"/>
          <w:b/>
          <w:i w:val="0"/>
          <w:color w:val="000000"/>
          <w:sz w:val="26"/>
        </w:rPr>
        <w:t>4.6 Recommendations for Future Research</w:t>
      </w:r>
    </w:p>
    <w:p>
      <w:pPr>
        <w:spacing w:line="360" w:lineRule="auto" w:after="120" w:before="0"/>
        <w:jc w:val="both"/>
      </w:pPr>
      <w:r>
        <w:rPr>
          <w:rFonts w:ascii="Times New Roman" w:hAnsi="Times New Roman" w:cs="Times New Roman"/>
          <w:b w:val="0"/>
          <w:i w:val="0"/>
          <w:color w:val="000000"/>
          <w:sz w:val="24"/>
        </w:rPr>
        <w:t>Several directions for future research emerge from this study. First, longitudinal designs could track how physical activity information quality changes over time as platforms modify their algorithms and content policies. Second, multilingual studies incorporating non-English content would address a significant gap, given that the majority of global internet users access health information in languages other than English. Third, future studies should incorporate full transcription and more fine-grained coding of audio-visual content to extend the point-of-access scoring approach used here and determine whether subtle spoken or visual cues alter quality ratings. Fourth, the role of platform algorithms in promoting or suppressing high-quality health content warrants dedicated investigation, particularly given the significant negative views–quality and likes–quality correlations observed on YouTube. Fifth, intervention studies could evaluate whether platform-specific quality labels or health information verification badges improve the quality of content that users encounter and trust. Finally, qualitative research exploring how users perceive and evaluate physical activity information across different platforms would complement the quantitative quality assessment approach used here.</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360" w:lineRule="auto"/>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line="36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line="360" w:lineRule="auto"/>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