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CONCLUSIONS</w:t>
      </w:r>
    </w:p>
    <w:p>
      <w:pPr>
        <w:spacing w:line="360" w:lineRule="auto" w:after="120" w:before="0"/>
        <w:jc w:val="both"/>
      </w:pPr>
      <w:r>
        <w:rPr>
          <w:rFonts w:ascii="Times New Roman" w:hAnsi="Times New Roman" w:cs="Times New Roman"/>
          <w:b w:val="0"/>
          <w:i w:val="0"/>
          <w:color w:val="000000"/>
          <w:sz w:val="24"/>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pPr>
        <w:spacing w:line="360" w:lineRule="auto" w:after="120" w:before="0"/>
        <w:jc w:val="both"/>
      </w:pPr>
      <w:r>
        <w:rPr>
          <w:rFonts w:ascii="Times New Roman" w:hAnsi="Times New Roman" w:cs="Times New Roman"/>
          <w:b w:val="0"/>
          <w:i w:val="0"/>
          <w:color w:val="000000"/>
          <w:sz w:val="24"/>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pPr>
        <w:spacing w:line="360" w:lineRule="auto" w:after="120" w:before="0"/>
        <w:jc w:val="both"/>
      </w:pPr>
      <w:r>
        <w:rPr>
          <w:rFonts w:ascii="Times New Roman" w:hAnsi="Times New Roman" w:cs="Times New Roman"/>
          <w:b w:val="0"/>
          <w:i w:val="0"/>
          <w:color w:val="000000"/>
          <w:sz w:val="24"/>
        </w:rPr>
        <w:t>Research Question 2: Does creator type moderate quality scores? The binary professional versus non-professional comparison was statistically significant (U = 4457, p = .036, r_rb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that creator type influences information quality in a graded fashion, with credentialed professionals producing measurably higher-quality content.</w:t>
      </w:r>
    </w:p>
    <w:p>
      <w:pPr>
        <w:spacing w:line="360" w:lineRule="auto" w:after="120" w:before="0"/>
        <w:jc w:val="both"/>
      </w:pPr>
      <w:r>
        <w:rPr>
          <w:rFonts w:ascii="Times New Roman" w:hAnsi="Times New Roman" w:cs="Times New Roman"/>
          <w:b w:val="0"/>
          <w:i w:val="0"/>
          <w:color w:val="000000"/>
          <w:sz w:val="24"/>
        </w:rPr>
        <w:t>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between-social-platform differences (Simpson's paradox). Within-platform analyses revealed that TikTok and Instagram showed no significant likes–quality correlations. Critically, YouTube demonstrated significant negative correlations for both views (rho = -0.340, p = .016) and likes (rho = -0.286,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accurate content.</w:t>
      </w:r>
    </w:p>
    <w:p>
      <w:pPr>
        <w:spacing w:line="360" w:lineRule="auto" w:after="120" w:before="0"/>
        <w:jc w:val="both"/>
      </w:pPr>
      <w:r>
        <w:rPr>
          <w:rFonts w:ascii="Times New Roman" w:hAnsi="Times New Roman" w:cs="Times New Roman"/>
          <w:b w:val="0"/>
          <w:i w:val="0"/>
          <w:color w:val="000000"/>
          <w:sz w:val="24"/>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pPr>
        <w:pStyle w:val="Heading1"/>
        <w:spacing w:line="360" w:lineRule="auto" w:after="240" w:before="0"/>
        <w:jc w:val="both"/>
      </w:pPr>
      <w:r>
        <w:rPr>
          <w:rFonts w:ascii="Times New Roman" w:hAnsi="Times New Roman" w:cs="Times New Roman"/>
          <w:b/>
          <w:i w:val="0"/>
          <w:color w:val="000000"/>
          <w:sz w:val="28"/>
        </w:rPr>
        <w:t>RECOMMENDATIONS</w:t>
      </w:r>
    </w:p>
    <w:p>
      <w:pPr>
        <w:spacing w:line="360" w:lineRule="auto" w:after="120" w:before="0"/>
        <w:jc w:val="both"/>
      </w:pPr>
      <w:r>
        <w:rPr>
          <w:rFonts w:ascii="Times New Roman" w:hAnsi="Times New Roman" w:cs="Times New Roman"/>
          <w:b w:val="0"/>
          <w:i w:val="0"/>
          <w:color w:val="000000"/>
          <w:sz w:val="24"/>
        </w:rPr>
        <w:t>1. Public health organisations should maintain high-quality traditional websites as anchor resources for physical activity information and should also produce platform-native short-form content that clearly states aims, cites sources, and acknowledges uncertainty.</w:t>
      </w:r>
    </w:p>
    <w:p>
      <w:pPr>
        <w:spacing w:line="360" w:lineRule="auto" w:after="120" w:before="0"/>
        <w:jc w:val="both"/>
      </w:pPr>
      <w:r>
        <w:rPr>
          <w:rFonts w:ascii="Times New Roman" w:hAnsi="Times New Roman" w:cs="Times New Roman"/>
          <w:b w:val="0"/>
          <w:i w:val="0"/>
          <w:color w:val="000000"/>
          <w:sz w:val="24"/>
        </w:rPr>
        <w:t>2. Healthcare professionals should engage more actively on social media, display their credentials prominently, and include source citations wherever feasible to counter the dominance of unqualified creators.</w:t>
      </w:r>
    </w:p>
    <w:p>
      <w:pPr>
        <w:spacing w:line="360" w:lineRule="auto" w:after="120" w:before="0"/>
        <w:jc w:val="both"/>
      </w:pPr>
      <w:r>
        <w:rPr>
          <w:rFonts w:ascii="Times New Roman" w:hAnsi="Times New Roman" w:cs="Times New Roman"/>
          <w:b w:val="0"/>
          <w:i w:val="0"/>
          <w:color w:val="000000"/>
          <w:sz w:val="24"/>
        </w:rPr>
        <w:t>3. Platform developers and policy makers should strengthen transparency standards for health-related content, including prompts for evidence citation, clearer credential signalling, and greater scrutiny of recommendation systems that amplify highly viewed but lower-quality content.</w:t>
      </w:r>
    </w:p>
    <w:p>
      <w:pPr>
        <w:spacing w:line="360" w:lineRule="auto" w:after="120" w:before="0"/>
        <w:jc w:val="both"/>
      </w:pPr>
      <w:r>
        <w:rPr>
          <w:rFonts w:ascii="Times New Roman" w:hAnsi="Times New Roman" w:cs="Times New Roman"/>
          <w:b w:val="0"/>
          <w:i w:val="0"/>
          <w:color w:val="000000"/>
          <w:sz w:val="24"/>
        </w:rPr>
        <w:t>4. Health literacy initiatives should explicitly teach that views, likes, and shares are not reliable indicators of information quality and should train users to check author credentials and cited sources.</w:t>
      </w:r>
    </w:p>
    <w:p>
      <w:pPr>
        <w:spacing w:line="360" w:lineRule="auto" w:after="120" w:before="0"/>
        <w:jc w:val="both"/>
      </w:pPr>
      <w:r>
        <w:rPr>
          <w:rFonts w:ascii="Times New Roman" w:hAnsi="Times New Roman" w:cs="Times New Roman"/>
          <w:b w:val="0"/>
          <w:i w:val="0"/>
          <w:color w:val="000000"/>
          <w:sz w:val="24"/>
        </w:rPr>
        <w:t>5. Consumers seeking physical activity guidance should use recognised health organisation websites as their primary source and should verify creator credentials and cross-check claims against authoritative guidelines when using social media.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