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center"/>
      </w:pPr>
      <w:r>
        <w:rPr>
          <w:rFonts w:ascii="Times New Roman" w:hAnsi="Times New Roman" w:cs="Times New Roman"/>
          <w:rFonts w:ascii="Times New Roman" w:hAnsi="Times New Roman"/>
          <w:b/>
          <w:i w:val="0"/>
          <w:sz w:val="28"/>
        </w:rPr>
        <w:t>CHAPTER 2. RESEARCH METHODOLOGY</w:t>
      </w:r>
    </w:p>
    <w:p>
      <w:pPr>
        <w:spacing w:before="0" w:after="120" w:line="360" w:lineRule="auto"/>
        <w:ind w:firstLine="720"/>
        <w:jc w:val="both"/>
      </w:pPr>
      <w:r>
        <w:rPr>
          <w:rFonts w:ascii="Times New Roman" w:hAnsi="Times New Roman" w:cs="Times New Roman"/>
          <w:rFonts w:ascii="Times New Roman" w:hAnsi="Times New Roman"/>
          <w:b w:val="0"/>
          <w:i w:val="0"/>
          <w:sz w:val="24"/>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 in alignment with established standards for content analysis in health communication research.</w:t>
      </w:r>
    </w:p>
    <w:p>
      <w:pPr>
        <w:spacing w:before="240" w:after="120" w:line="360" w:lineRule="auto"/>
        <w:jc w:val="left"/>
      </w:pPr>
      <w:r>
        <w:rPr>
          <w:rFonts w:ascii="Times New Roman" w:hAnsi="Times New Roman" w:cs="Times New Roman"/>
          <w:rFonts w:ascii="Times New Roman" w:hAnsi="Times New Roman"/>
          <w:b/>
          <w:i w:val="0"/>
          <w:sz w:val="24"/>
        </w:rPr>
        <w:t>2.1 Research Object</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guidance, recommendations, instructions, or educational material regarding exercise, fitness, or physical activity behaviours intended for a general adult audience.</w:t>
      </w:r>
    </w:p>
    <w:p>
      <w:pPr>
        <w:spacing w:before="0" w:after="120" w:line="360" w:lineRule="auto"/>
        <w:ind w:firstLine="720"/>
        <w:jc w:val="both"/>
      </w:pPr>
      <w:r>
        <w:rPr>
          <w:rFonts w:ascii="Times New Roman" w:hAnsi="Times New Roman" w:cs="Times New Roman"/>
          <w:rFonts w:ascii="Times New Roman" w:hAnsi="Times New Roman"/>
          <w:b w:val="0"/>
          <w:i w:val="0"/>
          <w:sz w:val="24"/>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information across diverse digital platforms.</w:t>
      </w:r>
    </w:p>
    <w:p>
      <w:pPr>
        <w:spacing w:before="240" w:after="120" w:line="360" w:lineRule="auto"/>
        <w:jc w:val="left"/>
      </w:pPr>
      <w:r>
        <w:rPr>
          <w:rFonts w:ascii="Times New Roman" w:hAnsi="Times New Roman" w:cs="Times New Roman"/>
          <w:rFonts w:ascii="Times New Roman" w:hAnsi="Times New Roman"/>
          <w:b/>
          <w:i w:val="0"/>
          <w:sz w:val="24"/>
        </w:rPr>
        <w:t>2.2 Research Strategy and Logic</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2024), and Instagram health content (Chea &amp; Lim, 2023).</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design was structured using the SPIDER framework (Cooke et al., 2012), adapted for content analysis as follows:</w:t>
      </w:r>
    </w:p>
    <w:p>
      <w:pPr>
        <w:spacing w:before="0" w:after="40" w:line="360" w:lineRule="auto"/>
        <w:ind w:left="720"/>
        <w:jc w:val="both"/>
      </w:pPr>
      <w:r>
        <w:rPr>
          <w:rFonts w:ascii="Times New Roman" w:hAnsi="Times New Roman" w:cs="Times New Roman"/>
          <w:rFonts w:ascii="Times New Roman" w:hAnsi="Times New Roman"/>
          <w:b/>
          <w:i w:val="0"/>
          <w:sz w:val="24"/>
        </w:rPr>
        <w:t xml:space="preserve">• Sample: </w:t>
      </w:r>
      <w:r>
        <w:rPr>
          <w:rFonts w:ascii="Times New Roman" w:hAnsi="Times New Roman" w:cs="Times New Roman"/>
          <w:rFonts w:ascii="Times New Roman" w:hAnsi="Times New Roman"/>
          <w:b w:val="0"/>
          <w:i w:val="0"/>
          <w:sz w:val="24"/>
        </w:rPr>
        <w:t>200 content items across four platforms (50 per platform).</w:t>
      </w:r>
    </w:p>
    <w:p>
      <w:pPr>
        <w:spacing w:before="0" w:after="40" w:line="360" w:lineRule="auto"/>
        <w:ind w:left="720"/>
        <w:jc w:val="both"/>
      </w:pPr>
      <w:r>
        <w:rPr>
          <w:rFonts w:ascii="Times New Roman" w:hAnsi="Times New Roman" w:cs="Times New Roman"/>
          <w:rFonts w:ascii="Times New Roman" w:hAnsi="Times New Roman"/>
          <w:b/>
          <w:i w:val="0"/>
          <w:sz w:val="24"/>
        </w:rPr>
        <w:t xml:space="preserve">• Phenomenon of Interest: </w:t>
      </w:r>
      <w:r>
        <w:rPr>
          <w:rFonts w:ascii="Times New Roman" w:hAnsi="Times New Roman" w:cs="Times New Roman"/>
          <w:rFonts w:ascii="Times New Roman" w:hAnsi="Times New Roman"/>
          <w:b w:val="0"/>
          <w:i w:val="0"/>
          <w:sz w:val="24"/>
        </w:rPr>
        <w:t>Quality of physical activity information.</w:t>
      </w:r>
    </w:p>
    <w:p>
      <w:pPr>
        <w:spacing w:before="0" w:after="40" w:line="360" w:lineRule="auto"/>
        <w:ind w:left="720"/>
        <w:jc w:val="both"/>
      </w:pPr>
      <w:r>
        <w:rPr>
          <w:rFonts w:ascii="Times New Roman" w:hAnsi="Times New Roman" w:cs="Times New Roman"/>
          <w:rFonts w:ascii="Times New Roman" w:hAnsi="Times New Roman"/>
          <w:b/>
          <w:i w:val="0"/>
          <w:sz w:val="24"/>
        </w:rPr>
        <w:t xml:space="preserve">• Design: </w:t>
      </w:r>
      <w:r>
        <w:rPr>
          <w:rFonts w:ascii="Times New Roman" w:hAnsi="Times New Roman" w:cs="Times New Roman"/>
          <w:rFonts w:ascii="Times New Roman" w:hAnsi="Times New Roman"/>
          <w:b w:val="0"/>
          <w:i w:val="0"/>
          <w:sz w:val="24"/>
        </w:rPr>
        <w:t>Cross-sectional content analysis.</w:t>
      </w:r>
    </w:p>
    <w:p>
      <w:pPr>
        <w:spacing w:before="0" w:after="40" w:line="360" w:lineRule="auto"/>
        <w:ind w:left="720"/>
        <w:jc w:val="both"/>
      </w:pPr>
      <w:r>
        <w:rPr>
          <w:rFonts w:ascii="Times New Roman" w:hAnsi="Times New Roman" w:cs="Times New Roman"/>
          <w:rFonts w:ascii="Times New Roman" w:hAnsi="Times New Roman"/>
          <w:b/>
          <w:i w:val="0"/>
          <w:sz w:val="24"/>
        </w:rPr>
        <w:t xml:space="preserve">• Evaluation: </w:t>
      </w:r>
      <w:r>
        <w:rPr>
          <w:rFonts w:ascii="Times New Roman" w:hAnsi="Times New Roman" w:cs="Times New Roman"/>
          <w:rFonts w:ascii="Times New Roman" w:hAnsi="Times New Roman"/>
          <w:b w:val="0"/>
          <w:i w:val="0"/>
          <w:sz w:val="24"/>
        </w:rPr>
        <w:t>DISCERN instrument and JAMA benchmarks.</w:t>
      </w:r>
    </w:p>
    <w:p>
      <w:pPr>
        <w:spacing w:before="0" w:after="40" w:line="360" w:lineRule="auto"/>
        <w:ind w:left="720"/>
        <w:jc w:val="both"/>
      </w:pPr>
      <w:r>
        <w:rPr>
          <w:rFonts w:ascii="Times New Roman" w:hAnsi="Times New Roman" w:cs="Times New Roman"/>
          <w:rFonts w:ascii="Times New Roman" w:hAnsi="Times New Roman"/>
          <w:b/>
          <w:i w:val="0"/>
          <w:sz w:val="24"/>
        </w:rPr>
        <w:t xml:space="preserve">• Research type: </w:t>
      </w:r>
      <w:r>
        <w:rPr>
          <w:rFonts w:ascii="Times New Roman" w:hAnsi="Times New Roman" w:cs="Times New Roman"/>
          <w:rFonts w:ascii="Times New Roman" w:hAnsi="Times New Roman"/>
          <w:b w:val="0"/>
          <w:i w:val="0"/>
          <w:sz w:val="24"/>
        </w:rPr>
        <w:t>Quantitative.</w:t>
      </w:r>
    </w:p>
    <w:p>
      <w:pPr>
        <w:spacing w:before="0" w:after="120" w:line="360" w:lineRule="auto"/>
        <w:ind w:firstLine="720"/>
        <w:jc w:val="both"/>
      </w:pPr>
      <w:r>
        <w:rPr>
          <w:rFonts w:ascii="Times New Roman" w:hAnsi="Times New Roman" w:cs="Times New Roman"/>
          <w:rFonts w:ascii="Times New Roman" w:hAnsi="Times New Roman"/>
          <w:b w:val="0"/>
          <w:i w:val="0"/>
          <w:sz w:val="24"/>
        </w:rPr>
        <w:t>The rationale for employing a cross-sectional content analysis rather than a systematic review lies in the current state of the literature. Recent meta-analyses have already synthesised the existing body of evidence on health information quality across individual platforms (Ayyash et al., 2025; Ayyash, Musaad, et al., 2025). However, no study to date has conducted a direct, head-to-head comparison of physical activity information quality across traditional websites, YouTube, TikTok, and Instagram using both the DISCERN and JAMA instruments simultaneously. The present study addresses this gap by providing the first four-platform comparative analysis using dual quality assessment frameworks applied specifically to physical activity content.</w:t>
      </w:r>
    </w:p>
    <w:p>
      <w:pPr>
        <w:spacing w:before="240" w:after="120" w:line="360" w:lineRule="auto"/>
        <w:jc w:val="left"/>
      </w:pPr>
      <w:r>
        <w:rPr>
          <w:rFonts w:ascii="Times New Roman" w:hAnsi="Times New Roman" w:cs="Times New Roman"/>
          <w:rFonts w:ascii="Times New Roman" w:hAnsi="Times New Roman"/>
          <w:b/>
          <w:i w:val="0"/>
          <w:sz w:val="24"/>
        </w:rPr>
        <w:t>2.3 Nature of Research</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pPr>
        <w:spacing w:before="0" w:after="120" w:line="360" w:lineRule="auto"/>
        <w:ind w:firstLine="720"/>
        <w:jc w:val="both"/>
      </w:pPr>
      <w:r>
        <w:rPr>
          <w:rFonts w:ascii="Times New Roman" w:hAnsi="Times New Roman" w:cs="Times New Roman"/>
          <w:rFonts w:ascii="Times New Roman" w:hAnsi="Times New Roman"/>
          <w:b w:val="0"/>
          <w:i w:val="0"/>
          <w:sz w:val="24"/>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information has direct consequences for public health behaviours and outcomes (Swire-Thompson &amp; Lazer, 2020).</w:t>
      </w:r>
    </w:p>
    <w:p>
      <w:pPr>
        <w:spacing w:before="240" w:after="120" w:line="360" w:lineRule="auto"/>
        <w:jc w:val="left"/>
      </w:pPr>
      <w:r>
        <w:rPr>
          <w:rFonts w:ascii="Times New Roman" w:hAnsi="Times New Roman" w:cs="Times New Roman"/>
          <w:rFonts w:ascii="Times New Roman" w:hAnsi="Times New Roman"/>
          <w:b/>
          <w:i w:val="0"/>
          <w:sz w:val="24"/>
        </w:rPr>
        <w:t>2.4 Study Sample and Sampling Frame</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sample comprises a total of N = 200 content items collected from four digital platforms: traditional websites accessed through Google search (n = 50), YouTube (n = 50), TikTok (n = 50), and Instagram (n = 50). This sample size was determined based on precedent in health information quality research, where samples of 40–60 items per platform have been established as sufficient for detecting meaningful quality differences (Leong et al., 2021; Drozd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Content was retrieved using five standardised search terms designed to simulate typical user queries related to physical activity:</w:t>
      </w:r>
    </w:p>
    <w:p>
      <w:pPr>
        <w:spacing w:before="0" w:after="40" w:line="360" w:lineRule="auto"/>
        <w:ind w:left="720"/>
        <w:jc w:val="left"/>
      </w:pPr>
      <w:r>
        <w:rPr>
          <w:rFonts w:ascii="Times New Roman" w:hAnsi="Times New Roman" w:cs="Times New Roman"/>
          <w:rFonts w:ascii="Times New Roman" w:hAnsi="Times New Roman"/>
          <w:b w:val="0"/>
          <w:i w:val="0"/>
          <w:sz w:val="24"/>
        </w:rPr>
        <w:t>• “How to start exercising”</w:t>
      </w:r>
    </w:p>
    <w:p>
      <w:pPr>
        <w:spacing w:before="0" w:after="40" w:line="360" w:lineRule="auto"/>
        <w:ind w:left="720"/>
        <w:jc w:val="left"/>
      </w:pPr>
      <w:r>
        <w:rPr>
          <w:rFonts w:ascii="Times New Roman" w:hAnsi="Times New Roman" w:cs="Times New Roman"/>
          <w:rFonts w:ascii="Times New Roman" w:hAnsi="Times New Roman"/>
          <w:b w:val="0"/>
          <w:i w:val="0"/>
          <w:sz w:val="24"/>
        </w:rPr>
        <w:t>• “Best exercises to lose weight”</w:t>
      </w:r>
    </w:p>
    <w:p>
      <w:pPr>
        <w:spacing w:before="0" w:after="40" w:line="360" w:lineRule="auto"/>
        <w:ind w:left="720"/>
        <w:jc w:val="left"/>
      </w:pPr>
      <w:r>
        <w:rPr>
          <w:rFonts w:ascii="Times New Roman" w:hAnsi="Times New Roman" w:cs="Times New Roman"/>
          <w:rFonts w:ascii="Times New Roman" w:hAnsi="Times New Roman"/>
          <w:b w:val="0"/>
          <w:i w:val="0"/>
          <w:sz w:val="24"/>
        </w:rPr>
        <w:t>• “Strength training for beginners”</w:t>
      </w:r>
    </w:p>
    <w:p>
      <w:pPr>
        <w:spacing w:before="0" w:after="40" w:line="360" w:lineRule="auto"/>
        <w:ind w:left="720"/>
        <w:jc w:val="left"/>
      </w:pPr>
      <w:r>
        <w:rPr>
          <w:rFonts w:ascii="Times New Roman" w:hAnsi="Times New Roman" w:cs="Times New Roman"/>
          <w:rFonts w:ascii="Times New Roman" w:hAnsi="Times New Roman"/>
          <w:b w:val="0"/>
          <w:i w:val="0"/>
          <w:sz w:val="24"/>
        </w:rPr>
        <w:t>• “Physical activity guidelines”</w:t>
      </w:r>
    </w:p>
    <w:p>
      <w:pPr>
        <w:spacing w:before="0" w:after="40" w:line="360" w:lineRule="auto"/>
        <w:ind w:left="720"/>
        <w:jc w:val="left"/>
      </w:pPr>
      <w:r>
        <w:rPr>
          <w:rFonts w:ascii="Times New Roman" w:hAnsi="Times New Roman" w:cs="Times New Roman"/>
          <w:rFonts w:ascii="Times New Roman" w:hAnsi="Times New Roman"/>
          <w:b w:val="0"/>
          <w:i w:val="0"/>
          <w:sz w:val="24"/>
        </w:rPr>
        <w:t>• “Home workout routine”</w:t>
      </w:r>
    </w:p>
    <w:p>
      <w:pPr>
        <w:spacing w:before="0" w:after="120" w:line="360" w:lineRule="auto"/>
        <w:ind w:firstLine="720"/>
        <w:jc w:val="both"/>
      </w:pPr>
      <w:r>
        <w:rPr>
          <w:rFonts w:ascii="Times New Roman" w:hAnsi="Times New Roman" w:cs="Times New Roman"/>
          <w:rFonts w:ascii="Times New Roman" w:hAnsi="Times New Roman"/>
          <w:b w:val="0"/>
          <w:i w:val="0"/>
          <w:sz w:val="24"/>
        </w:rPr>
        <w:t>These search terms were selected to represent a range of common physical activity information-seeking behaviours, from general exercise initiation to specific activity modalities. For each search term, the first 10 results were collected from each platform, yielding 10 results × 5 search terms × 4 platforms = 200 content items. The sampling strategy employed convenience sampling of top-ranked search results, which simulates the actual information-seeking behaviour of typical users who predominantly access the first page of search results (Pan et al., 2007).</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Inclusion criteria. </w:t>
      </w:r>
      <w:r>
        <w:rPr>
          <w:rFonts w:ascii="Times New Roman" w:hAnsi="Times New Roman" w:cs="Times New Roman"/>
          <w:rFonts w:ascii="Times New Roman" w:hAnsi="Times New Roman"/>
          <w:b w:val="0"/>
          <w:i w:val="0"/>
          <w:sz w:val="24"/>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Exclusion criteria. </w:t>
      </w:r>
      <w:r>
        <w:rPr>
          <w:rFonts w:ascii="Times New Roman" w:hAnsi="Times New Roman" w:cs="Times New Roman"/>
          <w:rFonts w:ascii="Times New Roman" w:hAnsi="Times New Roman"/>
          <w:b w:val="0"/>
          <w:i w:val="0"/>
          <w:sz w:val="24"/>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When a result was excluded, the next sequential result from the same search was included as a replacement to maintain the target sample size.</w:t>
      </w:r>
    </w:p>
    <w:p>
      <w:pPr>
        <w:spacing w:before="0" w:after="120" w:line="360" w:lineRule="auto"/>
        <w:ind w:firstLine="720"/>
        <w:jc w:val="both"/>
      </w:pPr>
      <w:r>
        <w:rPr>
          <w:rFonts w:ascii="Times New Roman" w:hAnsi="Times New Roman" w:cs="Times New Roman"/>
          <w:rFonts w:ascii="Times New Roman" w:hAnsi="Times New Roman"/>
          <w:b w:val="0"/>
          <w:i w:val="0"/>
          <w:sz w:val="24"/>
        </w:rPr>
        <w:t>Table 2.1 presents the sampling matrix illustrating the distribution of content items across search terms and platforms.</w:t>
      </w:r>
    </w:p>
    <w:p>
      <w:pPr>
        <w:spacing w:before="240" w:after="0" w:line="360" w:lineRule="auto"/>
        <w:jc w:val="left"/>
      </w:pPr>
      <w:r>
        <w:rPr>
          <w:rFonts w:ascii="Times New Roman" w:hAnsi="Times New Roman" w:cs="Times New Roman"/>
          <w:rFonts w:ascii="Times New Roman" w:hAnsi="Times New Roman"/>
          <w:b/>
          <w:i w:val="0"/>
          <w:sz w:val="24"/>
        </w:rPr>
        <w:t>Table 2.1</w:t>
      </w:r>
    </w:p>
    <w:p>
      <w:pPr>
        <w:spacing w:before="0" w:after="120" w:line="360" w:lineRule="auto"/>
        <w:jc w:val="left"/>
      </w:pPr>
      <w:r>
        <w:rPr>
          <w:rFonts w:ascii="Times New Roman" w:hAnsi="Times New Roman" w:cs="Times New Roman"/>
          <w:rFonts w:ascii="Times New Roman" w:hAnsi="Times New Roman"/>
          <w:b w:val="0"/>
          <w:i/>
          <w:sz w:val="24"/>
        </w:rPr>
        <w:t>Sampling Matrix: Distribution of Content Items by Search Term and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Search Term</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Google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YouTube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TikTok</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Instagram</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Total</w:t>
              <w:br/>
              <w:t>(N)</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How to start exercising</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Best exercises to lose weight</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Strength training for beginners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Physical activity guidelines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Home workout routine</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shd w:fill="E2EFDA"/>
          </w:tcPr>
          <w:p>
            <w:pPr>
              <w:spacing w:before="20" w:after="20" w:line="276" w:lineRule="auto"/>
              <w:jc w:val="left"/>
            </w:pPr>
            <w:r/>
            <w:r>
              <w:rPr>
                <w:rFonts w:ascii="Times New Roman" w:hAnsi="Times New Roman" w:cs="Times New Roman"/>
                <w:rFonts w:ascii="Times New Roman" w:hAnsi="Times New Roman"/>
                <w:b/>
                <w:i w:val="0"/>
                <w:sz w:val="20"/>
              </w:rPr>
              <w:t>Total</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200</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Each cell represents the number of content items collected per search term per platform. Total sample N = 200.</w:t>
      </w:r>
    </w:p>
    <w:p>
      <w:pPr>
        <w:spacing w:before="240" w:after="120" w:line="360" w:lineRule="auto"/>
        <w:jc w:val="left"/>
      </w:pPr>
      <w:r>
        <w:rPr>
          <w:rFonts w:ascii="Times New Roman" w:hAnsi="Times New Roman" w:cs="Times New Roman"/>
          <w:rFonts w:ascii="Times New Roman" w:hAnsi="Times New Roman"/>
          <w:b/>
          <w:i w:val="0"/>
          <w:sz w:val="24"/>
        </w:rPr>
        <w:t>2.5 Research Methods</w:t>
      </w:r>
    </w:p>
    <w:p>
      <w:pPr>
        <w:spacing w:before="160" w:after="120" w:line="360" w:lineRule="auto"/>
        <w:jc w:val="left"/>
      </w:pPr>
      <w:r>
        <w:rPr>
          <w:rFonts w:ascii="Times New Roman" w:hAnsi="Times New Roman" w:cs="Times New Roman"/>
          <w:rFonts w:ascii="Times New Roman" w:hAnsi="Times New Roman"/>
          <w:b/>
          <w:i w:val="0"/>
          <w:sz w:val="24"/>
        </w:rPr>
        <w:t>2.5.1 Data Collection Procedures</w:t>
      </w:r>
    </w:p>
    <w:p>
      <w:pPr>
        <w:spacing w:before="0" w:after="120" w:line="360" w:lineRule="auto"/>
        <w:ind w:firstLine="720"/>
        <w:jc w:val="both"/>
      </w:pPr>
      <w:r>
        <w:rPr>
          <w:rFonts w:ascii="Times New Roman" w:hAnsi="Times New Roman" w:cs="Times New Roman"/>
          <w:rFonts w:ascii="Times New Roman" w:hAnsi="Times New Roman"/>
          <w:b w:val="0"/>
          <w:i w:val="0"/>
          <w:sz w:val="24"/>
        </w:rPr>
        <w:t>Data collection was conducted over a two-day window (1–2 March 2026) using a systematic protocol designed to minimise algorithmic bias and ensure reproducibility. All searches were performed in logged-out, incognito (private) browsing mode in Google Chrome to eliminate the influence of personalised search algorithms, browsing history, and account-based recommendations on result rankings (Tripodi, 2018). The browser’s language was set to English (United States) and geolocation was configured to Kaunas, Lithuania, the researcher’s institutional location, to standardise the search environment across all platforms. No VPN was used.</w:t>
      </w:r>
    </w:p>
    <w:p>
      <w:pPr>
        <w:spacing w:before="0" w:after="120" w:line="360" w:lineRule="auto"/>
        <w:ind w:firstLine="720"/>
        <w:jc w:val="both"/>
      </w:pPr>
      <w:r>
        <w:rPr>
          <w:rFonts w:ascii="Times New Roman" w:hAnsi="Times New Roman" w:cs="Times New Roman"/>
          <w:rFonts w:ascii="Times New Roman" w:hAnsi="Times New Roman"/>
          <w:b w:val="0"/>
          <w:i w:val="0"/>
          <w:sz w:val="24"/>
        </w:rPr>
        <w:t>For traditional websites, searches were conducted on Google (google.com) using the default ‘All’ results tab; sponsored results and advertisements were excluded. For YouTube, searches were conducted on youtube.com using the default ‘Relevance’ sort. For both platforms, an automated data collection approach was employed using Playwright, an open-source browser automation framework. The automated scripts navigated to each platform, entered the standardised search terms, and systematically recorded the top 10 organic results for each query. This approach ensured consistency in result capture and eliminated human error in the recording of search rankings, URLs, and metadata. For TikTok and Instagram, manual data collection was conducted due to these platforms’ implementation of anti-bot measures that prevent reliable browser automation. TikTok searches used the in-app ‘Top’ tab; Instagram searches used the ‘Tags’ and ‘Top’ tabs. The primary researcher manually searched each term within the platform’s native search function, recording the first 10 relevant results in order of appearance. Reposts, advertisements, pinned/promoted content, and duplicate items from the same creator for the same search term were excluded and replaced by the next sequential organic result.</w:t>
      </w:r>
    </w:p>
    <w:p>
      <w:pPr>
        <w:spacing w:before="0" w:after="120" w:line="360" w:lineRule="auto"/>
        <w:ind w:firstLine="720"/>
        <w:jc w:val="both"/>
      </w:pPr>
      <w:r>
        <w:rPr>
          <w:rFonts w:ascii="Times New Roman" w:hAnsi="Times New Roman" w:cs="Times New Roman"/>
          <w:rFonts w:ascii="Times New Roman" w:hAnsi="Times New Roman"/>
          <w:b w:val="0"/>
          <w:i w:val="0"/>
          <w:sz w:val="24"/>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pPr>
        <w:spacing w:before="160" w:after="120" w:line="360" w:lineRule="auto"/>
        <w:jc w:val="left"/>
      </w:pPr>
      <w:r>
        <w:rPr>
          <w:rFonts w:ascii="Times New Roman" w:hAnsi="Times New Roman" w:cs="Times New Roman"/>
          <w:rFonts w:ascii="Times New Roman" w:hAnsi="Times New Roman"/>
          <w:b/>
          <w:i w:val="0"/>
          <w:sz w:val="24"/>
        </w:rPr>
        <w:t>2.5.2 Quality Assessment Instruments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DISCERN Instrument. </w:t>
      </w:r>
      <w:r>
        <w:rPr>
          <w:rFonts w:ascii="Times New Roman" w:hAnsi="Times New Roman" w:cs="Times New Roman"/>
          <w:rFonts w:ascii="Times New Roman" w:hAnsi="Times New Roman"/>
          <w:b w:val="0"/>
          <w:i w:val="0"/>
          <w:sz w:val="24"/>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purposes of the present study, DISCERN quality scores were categorised using the following established thresholds: Very Poor (16–26), Poor (27–38), Fair (39–50), Good (51–62), and Excellent (63–80).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with the approach adopted in prior studies examining fitness-related content (Kocyigit et al., 2024; Kong et al., 2024).</w:t>
      </w:r>
    </w:p>
    <w:p>
      <w:pPr>
        <w:spacing w:before="0" w:after="120" w:line="360" w:lineRule="auto"/>
        <w:ind w:firstLine="720"/>
        <w:jc w:val="both"/>
      </w:pPr>
      <w:r>
        <w:rPr>
          <w:rFonts w:ascii="Times New Roman" w:hAnsi="Times New Roman" w:cs="Times New Roman"/>
          <w:rFonts w:ascii="Times New Roman" w:hAnsi="Times New Roman"/>
          <w:b w:val="0"/>
          <w:i w:val="0"/>
          <w:sz w:val="24"/>
        </w:rPr>
        <w:t>Table 2.2 presents the complete DISCERN instrument with all 16 assessment questions.</w:t>
      </w:r>
    </w:p>
    <w:p>
      <w:pPr>
        <w:spacing w:before="240" w:after="0" w:line="360" w:lineRule="auto"/>
        <w:jc w:val="left"/>
      </w:pPr>
      <w:r>
        <w:rPr>
          <w:rFonts w:ascii="Times New Roman" w:hAnsi="Times New Roman" w:cs="Times New Roman"/>
          <w:rFonts w:ascii="Times New Roman" w:hAnsi="Times New Roman"/>
          <w:b/>
          <w:i w:val="0"/>
          <w:sz w:val="24"/>
        </w:rPr>
        <w:t>Table 2.2</w:t>
      </w:r>
    </w:p>
    <w:p>
      <w:pPr>
        <w:spacing w:before="0" w:after="120" w:line="360" w:lineRule="auto"/>
        <w:jc w:val="left"/>
      </w:pPr>
      <w:r>
        <w:rPr>
          <w:rFonts w:ascii="Times New Roman" w:hAnsi="Times New Roman" w:cs="Times New Roman"/>
          <w:rFonts w:ascii="Times New Roman" w:hAnsi="Times New Roman"/>
          <w:b w:val="0"/>
          <w:i/>
          <w:sz w:val="24"/>
        </w:rPr>
        <w:t>DISCERN Instrument Assessment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850"/>
            <w:shd w:fill="D9E2F3"/>
          </w:tcPr>
          <w:p>
            <w:pPr>
              <w:spacing w:before="20" w:after="20" w:line="276" w:lineRule="auto"/>
              <w:jc w:val="center"/>
            </w:pPr>
            <w:r/>
            <w:r>
              <w:rPr>
                <w:rFonts w:ascii="Times New Roman" w:hAnsi="Times New Roman" w:cs="Times New Roman"/>
                <w:rFonts w:ascii="Times New Roman" w:hAnsi="Times New Roman"/>
                <w:b/>
                <w:i w:val="0"/>
                <w:sz w:val="20"/>
              </w:rPr>
              <w:t>Item</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20"/>
              </w:rPr>
              <w:t>Section</w:t>
            </w:r>
          </w:p>
        </w:tc>
        <w:tc>
          <w:tcPr>
            <w:tcW w:type="dxa" w:w="6236"/>
            <w:shd w:fill="D9E2F3"/>
          </w:tcPr>
          <w:p>
            <w:pPr>
              <w:spacing w:before="20" w:after="20" w:line="276" w:lineRule="auto"/>
              <w:jc w:val="center"/>
            </w:pPr>
            <w:r/>
            <w:r>
              <w:rPr>
                <w:rFonts w:ascii="Times New Roman" w:hAnsi="Times New Roman" w:cs="Times New Roman"/>
                <w:rFonts w:ascii="Times New Roman" w:hAnsi="Times New Roman"/>
                <w:b/>
                <w:i w:val="0"/>
                <w:sz w:val="20"/>
              </w:rPr>
              <w:t>Question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Are the aims clear?</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achieve its aims?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relevant?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what sources of information were used to compile the publication?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when the information used or reported in the publication was produced?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balanced and unbiased?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Q7</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details of additional sources of support and information?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Q8</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refer to areas of uncertainty?</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Q9</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how each treatment works?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Q10</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benefits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risks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what would happen if no treatment is used?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effects of treatment choices on overall quality of life?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that there may be more than one possible treatment choice?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support for shared decision-making?</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3: Overall Rating</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Based on the answers to all of the above questions, rate the overall quality of the publication.</w:t>
            </w:r>
          </w:p>
        </w:tc>
      </w:tr>
      <w:tr>
        <w:tc>
          <w:tcPr>
            <w:tcW w:type="dxa" w:w="850"/>
          </w:tcPr>
          <w:p/>
        </w:tc>
        <w:tc>
          <w:tcPr>
            <w:tcW w:type="dxa" w:w="1984"/>
          </w:tcPr>
          <w:p/>
        </w:tc>
        <w:tc>
          <w:tcPr>
            <w:tcW w:type="dxa" w:w="6236"/>
          </w:tcP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JAMA Benchmarks. </w:t>
      </w:r>
      <w:r>
        <w:rPr>
          <w:rFonts w:ascii="Times New Roman" w:hAnsi="Times New Roman" w:cs="Times New Roman"/>
          <w:rFonts w:ascii="Times New Roman" w:hAnsi="Times New Roman"/>
          <w:b w:val="0"/>
          <w:i w:val="0"/>
          <w:sz w:val="24"/>
        </w:rPr>
        <w:t>The JAMA benchmarks (Silberg et al., 1997) provide a concise accountability framework for evaluating health information. The instrument assesses four criteria, each scored dichotomously as present (Y) or absent (N): (a) Authorship—whether authors and their credentials or affiliations are clearly identified; (b) Attribution—whether references and sources for content are cited; (c) Disclosure—whether sponsorship, advertising, conflicts of interest, or financial relationships are declared; and (d) Currency—whether the date of content creation or most recent update is provided. The total JAMA score ranges from 0 to 4, representing the number of criteria met.</w:t>
      </w:r>
    </w:p>
    <w:p>
      <w:pPr>
        <w:spacing w:before="0" w:after="120" w:line="360" w:lineRule="auto"/>
        <w:ind w:firstLine="720"/>
        <w:jc w:val="both"/>
      </w:pPr>
      <w:r>
        <w:rPr>
          <w:rFonts w:ascii="Times New Roman" w:hAnsi="Times New Roman" w:cs="Times New Roman"/>
          <w:rFonts w:ascii="Times New Roman" w:hAnsi="Times New Roman"/>
          <w:b w:val="0"/>
          <w:i w:val="0"/>
          <w:sz w:val="24"/>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2024).</w:t>
      </w:r>
    </w:p>
    <w:p>
      <w:pPr>
        <w:spacing w:before="240" w:after="0" w:line="360" w:lineRule="auto"/>
        <w:jc w:val="left"/>
      </w:pPr>
      <w:r>
        <w:rPr>
          <w:rFonts w:ascii="Times New Roman" w:hAnsi="Times New Roman" w:cs="Times New Roman"/>
          <w:rFonts w:ascii="Times New Roman" w:hAnsi="Times New Roman"/>
          <w:b/>
          <w:i w:val="0"/>
          <w:sz w:val="24"/>
        </w:rPr>
        <w:t>Table 2.3</w:t>
      </w:r>
    </w:p>
    <w:p>
      <w:pPr>
        <w:spacing w:before="0" w:after="120" w:line="360" w:lineRule="auto"/>
        <w:jc w:val="left"/>
      </w:pPr>
      <w:r>
        <w:rPr>
          <w:rFonts w:ascii="Times New Roman" w:hAnsi="Times New Roman" w:cs="Times New Roman"/>
          <w:rFonts w:ascii="Times New Roman" w:hAnsi="Times New Roman"/>
          <w:b w:val="0"/>
          <w:i/>
          <w:sz w:val="24"/>
        </w:rPr>
        <w:t>JAMA Benchmarks Criteria and Social Media Operationalisation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417"/>
            <w:shd w:fill="D9E2F3"/>
          </w:tcPr>
          <w:p>
            <w:pPr>
              <w:spacing w:before="20" w:after="20" w:line="276" w:lineRule="auto"/>
              <w:jc w:val="center"/>
            </w:pPr>
            <w:r/>
            <w:r>
              <w:rPr>
                <w:rFonts w:ascii="Times New Roman" w:hAnsi="Times New Roman" w:cs="Times New Roman"/>
                <w:rFonts w:ascii="Times New Roman" w:hAnsi="Times New Roman"/>
                <w:b/>
                <w:i w:val="0"/>
                <w:sz w:val="20"/>
              </w:rPr>
              <w:t>Criterion</w:t>
            </w:r>
          </w:p>
        </w:tc>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Original Definition</w:t>
            </w:r>
          </w:p>
        </w:tc>
        <w:tc>
          <w:tcPr>
            <w:tcW w:type="dxa" w:w="4535"/>
            <w:shd w:fill="D9E2F3"/>
          </w:tcPr>
          <w:p>
            <w:pPr>
              <w:spacing w:before="20" w:after="20" w:line="276" w:lineRule="auto"/>
              <w:jc w:val="center"/>
            </w:pPr>
            <w:r/>
            <w:r>
              <w:rPr>
                <w:rFonts w:ascii="Times New Roman" w:hAnsi="Times New Roman" w:cs="Times New Roman"/>
                <w:rFonts w:ascii="Times New Roman" w:hAnsi="Times New Roman"/>
                <w:b/>
                <w:i w:val="0"/>
                <w:sz w:val="20"/>
              </w:rPr>
              <w:t>Social Media Operationalisation</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Authorship</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Authors and credentials/affiliations identified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Creator bio states professional credentials (e.g., MD, PT, CSCS) or account is a verified professional/organisational account</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Attribution</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References and sources for content are cited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cites scientific studies, clinical guidelines, or other sources in video, caption, description, or on-screen text references</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Disclosure</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Sponsorship, advertising, or conflicts of interest declared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discloses sponsorships, partnerships, or paid promotions (e.g., #ad, #sponsored, platform-provided paid partnership label)</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Currency</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Date of content creation or update provided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Post or publication date is visible (inherent feature of most social media platforms; for websites, date must be explicitly displayed)</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pPr>
        <w:spacing w:before="160" w:after="120" w:line="360" w:lineRule="auto"/>
        <w:jc w:val="left"/>
      </w:pPr>
      <w:r>
        <w:rPr>
          <w:rFonts w:ascii="Times New Roman" w:hAnsi="Times New Roman" w:cs="Times New Roman"/>
          <w:rFonts w:ascii="Times New Roman" w:hAnsi="Times New Roman"/>
          <w:b/>
          <w:i w:val="0"/>
          <w:sz w:val="24"/>
        </w:rPr>
        <w:t>2.5.3 Additional Variables</w:t>
      </w:r>
    </w:p>
    <w:p>
      <w:pPr>
        <w:spacing w:before="0" w:after="120" w:line="360" w:lineRule="auto"/>
        <w:ind w:firstLine="720"/>
        <w:jc w:val="both"/>
      </w:pPr>
      <w:r>
        <w:rPr>
          <w:rFonts w:ascii="Times New Roman" w:hAnsi="Times New Roman" w:cs="Times New Roman"/>
          <w:rFonts w:ascii="Times New Roman" w:hAnsi="Times New Roman"/>
          <w:b w:val="0"/>
          <w:i w:val="0"/>
          <w:sz w:val="24"/>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classification. </w:t>
      </w:r>
      <w:r>
        <w:rPr>
          <w:rFonts w:ascii="Times New Roman" w:hAnsi="Times New Roman" w:cs="Times New Roman"/>
          <w:rFonts w:ascii="Times New Roman" w:hAnsi="Times New Roman"/>
          <w:b w:val="0"/>
          <w:i w:val="0"/>
          <w:sz w:val="24"/>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identifiable fitness or health credentials), and (e) Organisation (institutional accounts such as hospitals, health agencies, or fitness organisations). This classification scheme was developed based on typologies employed in prior research on health information creators (Kocyigit et al., 2024; Yurdaisik,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w:t>
      </w:r>
      <w:r>
        <w:rPr>
          <w:rFonts w:ascii="Times New Roman" w:hAnsi="Times New Roman" w:cs="Times New Roman"/>
          <w:rFonts w:ascii="Times New Roman" w:hAnsi="Times New Roman"/>
          <w:b w:val="0"/>
          <w:i w:val="0"/>
          <w:sz w:val="24"/>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Content format. </w:t>
      </w:r>
      <w:r>
        <w:rPr>
          <w:rFonts w:ascii="Times New Roman" w:hAnsi="Times New Roman" w:cs="Times New Roman"/>
          <w:rFonts w:ascii="Times New Roman" w:hAnsi="Times New Roman"/>
          <w:b w:val="0"/>
          <w:i w:val="0"/>
          <w:sz w:val="24"/>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pPr>
        <w:spacing w:before="240" w:after="120" w:line="360" w:lineRule="auto"/>
        <w:jc w:val="left"/>
      </w:pPr>
      <w:r>
        <w:rPr>
          <w:rFonts w:ascii="Times New Roman" w:hAnsi="Times New Roman" w:cs="Times New Roman"/>
          <w:rFonts w:ascii="Times New Roman" w:hAnsi="Times New Roman"/>
          <w:b/>
          <w:i w:val="0"/>
          <w:sz w:val="24"/>
        </w:rPr>
        <w:t>2.6 Research Organisation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1: Automated data collection (Day 1). </w:t>
      </w:r>
      <w:r>
        <w:rPr>
          <w:rFonts w:ascii="Times New Roman" w:hAnsi="Times New Roman" w:cs="Times New Roman"/>
          <w:rFonts w:ascii="Times New Roman" w:hAnsi="Times New Roman"/>
          <w:b w:val="0"/>
          <w:i w:val="0"/>
          <w:sz w:val="24"/>
        </w:rPr>
        <w:t>Playwright browser automation scripts were executed to collect search results from Google and YouTube. The scripts performed searches for all five search terms, captured the top 10 results per term, and recorded URLs, metadata, and screenshots.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2: Manual data collection (Days 1–2). </w:t>
      </w:r>
      <w:r>
        <w:rPr>
          <w:rFonts w:ascii="Times New Roman" w:hAnsi="Times New Roman" w:cs="Times New Roman"/>
          <w:rFonts w:ascii="Times New Roman" w:hAnsi="Times New Roman"/>
          <w:b w:val="0"/>
          <w:i w:val="0"/>
          <w:sz w:val="24"/>
        </w:rPr>
        <w:t>The primary researcher manually collected search results from TikTok and Instagram using the platform-native search functions. Results were recorded in the same standardised format as the automated collection.</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3: Primary quality assessment. </w:t>
      </w:r>
      <w:r>
        <w:rPr>
          <w:rFonts w:ascii="Times New Roman" w:hAnsi="Times New Roman" w:cs="Times New Roman"/>
          <w:rFonts w:ascii="Times New Roman" w:hAnsi="Times New Roman"/>
          <w:b w:val="0"/>
          <w:i w:val="0"/>
          <w:sz w:val="24"/>
        </w:rPr>
        <w:t>The primary researcher assessed all 200 content items using both the DISCERN instrument and the JAMA benchmarks. For text-based website content, each article was read in full. For video content (YouTube and TikTok), scoring was based on a combination of the video content itself, visible captions, descriptions, and on-screen text; full verbatim transcription was not performed. For Instagram carousels and image posts, scoring was based on all visible text, captions, and associated profile information. This approach reflects the information a typical user would encounter when engaging with each item. Scores were recorded in a structured data collection spreadsheet.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4: Second rater assessment. </w:t>
      </w:r>
      <w:r>
        <w:rPr>
          <w:rFonts w:ascii="Times New Roman" w:hAnsi="Times New Roman" w:cs="Times New Roman"/>
          <w:rFonts w:ascii="Times New Roman" w:hAnsi="Times New Roman"/>
          <w:b w:val="0"/>
          <w:i w:val="0"/>
          <w:sz w:val="24"/>
        </w:rPr>
        <w:t>A trained second rater independently scored a 20% subsample of content items (n = 40; 10 randomly selected items per platform) using both instruments. The second rater was provided with the same scoring guidelines and training materials as the primary researcher to ensure standardised application of the assessment criteria.</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5: Inter-rater reliability assessment. </w:t>
      </w:r>
      <w:r>
        <w:rPr>
          <w:rFonts w:ascii="Times New Roman" w:hAnsi="Times New Roman" w:cs="Times New Roman"/>
          <w:rFonts w:ascii="Times New Roman" w:hAnsi="Times New Roman"/>
          <w:b w:val="0"/>
          <w:i w:val="0"/>
          <w:sz w:val="24"/>
        </w:rPr>
        <w:t>Agreement between the primary researcher and the second rater was evaluated using the Intraclass Correlation Coefficient (ICC) for DISCERN scores and Cohen’s kappa (κ) for JAMA criteria. These metrics are reported in the Results chapter.</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6: Statistical analysis. </w:t>
      </w:r>
      <w:r>
        <w:rPr>
          <w:rFonts w:ascii="Times New Roman" w:hAnsi="Times New Roman" w:cs="Times New Roman"/>
          <w:rFonts w:ascii="Times New Roman" w:hAnsi="Times New Roman"/>
          <w:b w:val="0"/>
          <w:i w:val="0"/>
          <w:sz w:val="24"/>
        </w:rPr>
        <w:t>Following the completion of quality assessments, all data were compiled and analysed using Python 3.13 with scientific computing libraries, as detailed in Section 2.7.</w:t>
      </w:r>
    </w:p>
    <w:p>
      <w:pPr>
        <w:spacing w:before="120" w:after="0" w:line="360" w:lineRule="auto"/>
        <w:jc w:val="both"/>
      </w:pPr>
      <w:r>
        <w:rPr>
          <w:rFonts w:ascii="Times New Roman" w:hAnsi="Times New Roman" w:cs="Times New Roman"/>
          <w:rFonts w:ascii="Times New Roman" w:hAnsi="Times New Roman"/>
          <w:b w:val="0"/>
          <w:i w:val="0"/>
          <w:sz w:val="24"/>
        </w:rPr>
      </w:r>
    </w:p>
    <w:p>
      <w:pPr>
        <w:spacing w:before="240" w:after="0" w:line="360" w:lineRule="auto"/>
        <w:jc w:val="center"/>
      </w:pPr>
      <w:r>
        <w:rPr>
          <w:rFonts w:ascii="Times New Roman" w:hAnsi="Times New Roman" w:cs="Times New Roman"/>
          <w:rFonts w:ascii="Times New Roman" w:hAnsi="Times New Roman"/>
          <w:b/>
          <w:i w:val="0"/>
          <w:sz w:val="24"/>
        </w:rPr>
        <w:t>Figure 2.1</w:t>
      </w:r>
    </w:p>
    <w:p>
      <w:pPr>
        <w:spacing w:before="0" w:after="120" w:line="360" w:lineRule="auto"/>
        <w:jc w:val="center"/>
      </w:pPr>
      <w:r>
        <w:rPr>
          <w:rFonts w:ascii="Times New Roman" w:hAnsi="Times New Roman" w:cs="Times New Roman"/>
          <w:rFonts w:ascii="Times New Roman" w:hAnsi="Times New Roman"/>
          <w:b w:val="0"/>
          <w:i/>
          <w:sz w:val="24"/>
        </w:rPr>
        <w:t>Flow Diagram of the Research Process</w:t>
      </w:r>
    </w:p>
    <w:tbl>
      <w:tblPr>
        <w:tblW w:type="auto" w:w="0"/>
        <w:jc w:val="center"/>
        <w:tblLook w:firstColumn="1" w:firstRow="1" w:lastColumn="0" w:lastRow="0" w:noHBand="0" w:noVBand="1" w:val="04A0"/>
      </w:tblPr>
      <w:tblGrid>
        <w:gridCol w:w="9026"/>
      </w:tblGrid>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1: Automated Data Collection</w:t>
              <w:br/>
              <w:t>(Google &amp; YouTube via Playwright – Day 1)</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2: Manual Data Collection</w:t>
              <w:br/>
              <w:t>(TikTok &amp; Instagram – Days 1–2)</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3: Primary DISCERN &amp; JAMA Assessment</w:t>
              <w:br/>
              <w:t>(N = 200 content items)</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4: Second Rater Assessment</w:t>
              <w:br/>
              <w:t>(20% subsample, n = 40)</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5: Inter-Rater Reliability</w:t>
              <w:br/>
              <w:t>(ICC for DISCERN; Cohen’s κ for JAMA)</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6: Statistical Analysis</w:t>
              <w:br/>
              <w:t>(Python 3.13 with SciPy, pingouin, scikit-posthocs)</w:t>
            </w:r>
          </w:p>
        </w:tc>
      </w:tr>
    </w:tbl>
    <w:p>
      <w:pPr>
        <w:spacing w:before="60" w:after="240" w:line="240" w:lineRule="auto"/>
        <w:jc w:val="center"/>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The research process proceeded sequentially through six phases over the study period (February–March 2026).</w:t>
      </w:r>
    </w:p>
    <w:p>
      <w:pPr>
        <w:spacing w:before="160" w:after="120" w:line="360" w:lineRule="auto"/>
        <w:jc w:val="left"/>
      </w:pPr>
      <w:r>
        <w:rPr>
          <w:rFonts w:ascii="Times New Roman" w:hAnsi="Times New Roman" w:cs="Times New Roman"/>
          <w:rFonts w:ascii="Times New Roman" w:hAnsi="Times New Roman"/>
          <w:b/>
          <w:i w:val="0"/>
          <w:sz w:val="24"/>
        </w:rPr>
        <w:t>2.6.1 Ethical Considerations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does not involve human subjects, as all data were derived from publicly available online content. Consequently, formal ethics committee approval was not required, consistent with standard practice for content analyses of publicly accessible materials (Snelson, 2016). No personal data of content creators were collected beyond publicly displayed profile information relevant to the creator type classification. All content was accessed through standard public-facing interfaces, and no private or restricted materials were accessed at any point during the data collection process.</w:t>
      </w:r>
    </w:p>
    <w:p>
      <w:pPr>
        <w:spacing w:before="240" w:after="120" w:line="360" w:lineRule="auto"/>
        <w:jc w:val="left"/>
      </w:pPr>
      <w:r>
        <w:rPr>
          <w:rFonts w:ascii="Times New Roman" w:hAnsi="Times New Roman" w:cs="Times New Roman"/>
          <w:rFonts w:ascii="Times New Roman" w:hAnsi="Times New Roman"/>
          <w:b/>
          <w:i w:val="0"/>
          <w:sz w:val="24"/>
        </w:rPr>
        <w:t>2.7 Methods of Statistical Analysis</w:t>
      </w:r>
    </w:p>
    <w:p>
      <w:pPr>
        <w:spacing w:before="0" w:after="120" w:line="360" w:lineRule="auto"/>
        <w:ind w:firstLine="720"/>
        <w:jc w:val="both"/>
      </w:pPr>
      <w:r>
        <w:rPr>
          <w:rFonts w:ascii="Times New Roman" w:hAnsi="Times New Roman" w:cs="Times New Roman"/>
          <w:rFonts w:ascii="Times New Roman" w:hAnsi="Times New Roman"/>
          <w:b w:val="0"/>
          <w:i w:val="0"/>
          <w:sz w:val="24"/>
        </w:rPr>
        <w:t>All statistical analyses were conducted using Python 3.13 with the following scientific computing libraries: pandas (McKinney, 2010) for data manipulation, SciPy (Virtanen et al., 2020) for non-parametric inferential tests including Kruskal–Wallis, Mann–Whitney U, chi-square, and Spearman correlations, scikit-posthocs (Terpilowski, 2019) for Dunn’s post-hoc comparisons with Bonferroni correction, pingouin (Vallat, 2018) for intraclass correlation coefficient computation, and matplotlib/seaborn for publication-quality graphical representations. The significance level was set at α = 0.05 for all inferential tests. The complete analysis code is reproduced in Appendix D.</w:t>
      </w:r>
    </w:p>
    <w:p>
      <w:pPr>
        <w:spacing w:before="160" w:after="120" w:line="360" w:lineRule="auto"/>
        <w:jc w:val="left"/>
      </w:pPr>
      <w:r>
        <w:rPr>
          <w:rFonts w:ascii="Times New Roman" w:hAnsi="Times New Roman" w:cs="Times New Roman"/>
          <w:rFonts w:ascii="Times New Roman" w:hAnsi="Times New Roman"/>
          <w:b/>
          <w:i w:val="0"/>
          <w:sz w:val="24"/>
        </w:rPr>
        <w:t>2.7.1 Descriptive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distributions.</w:t>
      </w:r>
    </w:p>
    <w:p>
      <w:pPr>
        <w:spacing w:before="160" w:after="120" w:line="360" w:lineRule="auto"/>
        <w:jc w:val="left"/>
      </w:pPr>
      <w:r>
        <w:rPr>
          <w:rFonts w:ascii="Times New Roman" w:hAnsi="Times New Roman" w:cs="Times New Roman"/>
          <w:rFonts w:ascii="Times New Roman" w:hAnsi="Times New Roman"/>
          <w:b/>
          <w:i w:val="0"/>
          <w:sz w:val="24"/>
        </w:rPr>
        <w:t>2.7.2 Inter-Rater Reliability</w:t>
      </w:r>
    </w:p>
    <w:p>
      <w:pPr>
        <w:spacing w:before="0" w:after="120" w:line="360" w:lineRule="auto"/>
        <w:ind w:firstLine="720"/>
        <w:jc w:val="both"/>
      </w:pPr>
      <w:r>
        <w:rPr>
          <w:rFonts w:ascii="Times New Roman" w:hAnsi="Times New Roman" w:cs="Times New Roman"/>
          <w:rFonts w:ascii="Times New Roman" w:hAnsi="Times New Roman"/>
          <w:b w:val="0"/>
          <w:i w:val="0"/>
          <w:sz w:val="24"/>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 reliability, and values greater than 0.90 indicate excellent reliability (Koo &amp; Li, 2016).</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pPr>
        <w:spacing w:before="160" w:after="120" w:line="360" w:lineRule="auto"/>
        <w:jc w:val="left"/>
      </w:pPr>
      <w:r>
        <w:rPr>
          <w:rFonts w:ascii="Times New Roman" w:hAnsi="Times New Roman" w:cs="Times New Roman"/>
          <w:rFonts w:ascii="Times New Roman" w:hAnsi="Times New Roman"/>
          <w:b/>
          <w:i w:val="0"/>
          <w:sz w:val="24"/>
        </w:rPr>
        <w:t>2.7.3 Inferential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DISCERN scores. </w:t>
      </w:r>
      <w:r>
        <w:rPr>
          <w:rFonts w:ascii="Times New Roman" w:hAnsi="Times New Roman" w:cs="Times New Roman"/>
          <w:rFonts w:ascii="Times New Roman" w:hAnsi="Times New Roman"/>
          <w:b w:val="0"/>
          <w:i w:val="0"/>
          <w:sz w:val="24"/>
        </w:rPr>
        <w:t>The Kruskal-Wallis H test was employed to examine whether DISCERN total scores differed significantly across the four platforms (Google, YouTube, TikTok, and Instagram). When a statistically significant omnibus result was obtained, Dunn’s post-hoc test with Bonferroni correction was applied to identify which specific platform pairs differed significantly. The effect size was quantified using eta-squared (η²), computed as η² = (H − k + 1) / (N − k), where H is the Kruskal-Wallis statistic, k the number of groups, and N the total sample size. This is an approximation rather than a true proportion of variance explained and should be interpreted accordingly; values of approximately 0.01, 0.06, and 0.14 correspond to small, medium, and large effects, respectively (Cohen, 1988).</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JAMA compliance. </w:t>
      </w:r>
      <w:r>
        <w:rPr>
          <w:rFonts w:ascii="Times New Roman" w:hAnsi="Times New Roman" w:cs="Times New Roman"/>
          <w:rFonts w:ascii="Times New Roman" w:hAnsi="Times New Roman"/>
          <w:b w:val="0"/>
          <w:i w:val="0"/>
          <w:sz w:val="24"/>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and quality scores. </w:t>
      </w:r>
      <w:r>
        <w:rPr>
          <w:rFonts w:ascii="Times New Roman" w:hAnsi="Times New Roman" w:cs="Times New Roman"/>
          <w:rFonts w:ascii="Times New Roman" w:hAnsi="Times New Roman"/>
          <w:b w:val="0"/>
          <w:i w:val="0"/>
          <w:sz w:val="24"/>
        </w:rPr>
        <w:t>To investigate whether creator type moderates information quality, DISCERN scores were compared between professional creators (healthcare professionals and certified fitness professionals combined) and non-professional creators (fitness influencers, general users, and organisations combined) using the Mann-Whitney U test. Organisations were classified as non-professional because they encompass a heterogeneous mix of entities—from government health departments to commercial fitness brands—making uniform professional classification inappropriate. The effect size was reported as rank-biserial correlation (r</w:t>
      </w:r>
      <w:r>
        <w:rPr>
          <w:rFonts w:ascii="Times New Roman" w:hAnsi="Times New Roman" w:cs="Times New Roman"/>
          <w:rFonts w:ascii="Times New Roman" w:hAnsi="Times New Roman"/>
          <w:b w:val="0"/>
          <w:i/>
          <w:sz w:val="24"/>
        </w:rPr>
        <w:t>rb</w:t>
      </w:r>
      <w:r>
        <w:rPr>
          <w:rFonts w:ascii="Times New Roman" w:hAnsi="Times New Roman" w:cs="Times New Roman"/>
          <w:rFonts w:ascii="Times New Roman" w:hAnsi="Times New Roman"/>
          <w:b w:val="0"/>
          <w:i w:val="0"/>
          <w:sz w:val="24"/>
        </w:rPr>
        <w:t>), where values of 0.10, 0.30, and 0.50 correspond to small, medium, and large effects (Fritz et al., 2012).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and information quality. </w:t>
      </w:r>
      <w:r>
        <w:rPr>
          <w:rFonts w:ascii="Times New Roman" w:hAnsi="Times New Roman" w:cs="Times New Roman"/>
          <w:rFonts w:ascii="Times New Roman" w:hAnsi="Times New Roman"/>
          <w:b w:val="0"/>
          <w:i w:val="0"/>
          <w:sz w:val="24"/>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Table 2.4 provides a summary of the statistical analysis plan, linking each research question to the corresponding variables, statistical tests, and rationale for test selection.</w:t>
      </w:r>
    </w:p>
    <w:p>
      <w:pPr>
        <w:spacing w:before="240" w:after="0" w:line="360" w:lineRule="auto"/>
        <w:jc w:val="left"/>
      </w:pPr>
      <w:r>
        <w:rPr>
          <w:rFonts w:ascii="Times New Roman" w:hAnsi="Times New Roman" w:cs="Times New Roman"/>
          <w:rFonts w:ascii="Times New Roman" w:hAnsi="Times New Roman"/>
          <w:b/>
          <w:i w:val="0"/>
          <w:sz w:val="24"/>
        </w:rPr>
        <w:t>Table 2.4</w:t>
      </w:r>
    </w:p>
    <w:p>
      <w:pPr>
        <w:spacing w:before="0" w:after="120" w:line="360" w:lineRule="auto"/>
        <w:jc w:val="left"/>
      </w:pPr>
      <w:r>
        <w:rPr>
          <w:rFonts w:ascii="Times New Roman" w:hAnsi="Times New Roman" w:cs="Times New Roman"/>
          <w:rFonts w:ascii="Times New Roman" w:hAnsi="Times New Roman"/>
          <w:b w:val="0"/>
          <w:i/>
          <w:sz w:val="24"/>
        </w:rPr>
        <w:t>Summary of Statistical Analysis Plan by Research Question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Research Question</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18"/>
              </w:rPr>
              <w:t>Variables</w:t>
            </w:r>
          </w:p>
        </w:tc>
        <w:tc>
          <w:tcPr>
            <w:tcW w:type="dxa" w:w="2551"/>
            <w:shd w:fill="D9E2F3"/>
          </w:tcPr>
          <w:p>
            <w:pPr>
              <w:spacing w:before="20" w:after="20" w:line="276" w:lineRule="auto"/>
              <w:jc w:val="center"/>
            </w:pPr>
            <w:r/>
            <w:r>
              <w:rPr>
                <w:rFonts w:ascii="Times New Roman" w:hAnsi="Times New Roman" w:cs="Times New Roman"/>
                <w:rFonts w:ascii="Times New Roman" w:hAnsi="Times New Roman"/>
                <w:b/>
                <w:i w:val="0"/>
                <w:sz w:val="18"/>
              </w:rPr>
              <w:t>Statistical Test</w:t>
            </w:r>
          </w:p>
        </w:tc>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Rationale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RQ1: How does PA information quality differ between traditional websites and social media?</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Platform (4 levels)</w:t>
              <w:br/>
              <w:t>DV: DISCERN total score; JAMA criteria compliance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Kruskal-Wallis H test (DISCERN)</w:t>
              <w:br/>
              <w:t>Dunn’s post-hoc with Bonferroni</w:t>
              <w:br/>
              <w:t>χ² / Fisher’s exact test (JAMA)</w:t>
              <w:br/>
              <w:t>Effect sizes: η², Cramér’s V</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ordinal DISCERN data likely non-normally distributed. Chi-square appropriate for categorical JAMA data.</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RQ2: Does creator type moderate quality scores?</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Creator type (professional vs. non-professional)</w:t>
              <w:br/>
              <w:t>DV: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Mann-Whitney U test</w:t>
              <w:br/>
              <w:t>Effect size: rank-biserial correlation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comparison of two independent groups with ordinal outcome variable.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RQ3: What is the relationship between engagement metrics and quality?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Predictor: Views, likes, shares</w:t>
              <w:br/>
              <w:t>Outcome: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Spearman’s rank correlation (ρ)</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correlation appropriate for skewed engagement data and ordinal quality scores.</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Inter-rater reliability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Rater 1 vs. Rater 2 scores</w:t>
              <w:br/>
              <w:t>(20% subsample, n = 40)</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ICC (two-way mixed, single measures, absolute agreement) for DISCERN</w:t>
              <w:br/>
              <w:t>Cohen’s κ for each JAMA criterion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ICC suitable for continuous/ordinal data; κ appropriate for dichotomous categorical data.</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IV = independent variable; DV = dependent variable; PA = physical activity; ICC = Intraclass Correlation Coefficient; η² = eta-squared (approximation); χ² = chi-square; κ = kappa; ρ = Spearman’s rho. Significance level: α = 0.05 for all tests.</w:t>
      </w:r>
    </w:p>
    <w:p>
      <w:pPr>
        <w:spacing w:before="120" w:after="120" w:line="360" w:lineRule="auto"/>
        <w:ind w:firstLine="720"/>
        <w:jc w:val="both"/>
      </w:pPr>
      <w:r>
        <w:rPr>
          <w:rFonts w:ascii="Times New Roman" w:hAnsi="Times New Roman" w:cs="Times New Roman"/>
          <w:rFonts w:ascii="Times New Roman" w:hAnsi="Times New Roman"/>
          <w:b w:val="0"/>
          <w:i w:val="0"/>
          <w:sz w:val="24"/>
        </w:rPr>
        <w:t>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s="Times New Roman"/>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