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both"/>
      </w:pPr>
      <w:r>
        <w:rPr>
          <w:rFonts w:ascii="Times New Roman" w:hAnsi="Times New Roman" w:cs="Times New Roman"/>
          <w:b/>
          <w:i w:val="0"/>
          <w:color w:val="000000"/>
          <w:sz w:val="28"/>
        </w:rPr>
        <w:t>CHAPTER 3. RESEARCH FINDINGS</w:t>
      </w:r>
    </w:p>
    <w:p>
      <w:pPr>
        <w:spacing w:line="360" w:lineRule="auto" w:after="200" w:before="0"/>
        <w:jc w:val="both"/>
      </w:pPr>
      <w:r>
        <w:rPr>
          <w:rFonts w:ascii="Times New Roman" w:hAnsi="Times New Roman" w:cs="Times New Roman"/>
          <w:b/>
          <w:i w:val="0"/>
          <w:color w:val="000000"/>
          <w:sz w:val="26"/>
        </w:rPr>
        <w:t>3.1 Sample Characteristics</w:t>
      </w:r>
    </w:p>
    <w:p>
      <w:pPr>
        <w:spacing w:line="360" w:lineRule="auto" w:after="120" w:before="0"/>
        <w:jc w:val="both"/>
      </w:pPr>
      <w:r>
        <w:rPr>
          <w:rFonts w:ascii="Times New Roman" w:hAnsi="Times New Roman" w:cs="Times New Roman"/>
          <w:b w:val="0"/>
          <w:i w:val="0"/>
          <w:color w:val="000000"/>
          <w:sz w:val="24"/>
        </w:rPr>
        <w:t>A total of 200 items were sampled across four platforms: traditional websites (n = 50), YouTube (n = 50), TikTok (n = 50), and Instagram (n = 50). Each platform contributed 10 results from each of the five search terms, yielding a balanced representation across content domains. All 200 items met the predefined inclusion criteria of being publicly accessible, English-language, substantive physical activity content published or updated within the past three years.</w:t>
      </w:r>
    </w:p>
    <w:p>
      <w:pPr>
        <w:spacing w:line="360" w:lineRule="auto" w:after="120" w:before="0"/>
        <w:jc w:val="both"/>
      </w:pPr>
      <w:r>
        <w:rPr>
          <w:rFonts w:ascii="Times New Roman" w:hAnsi="Times New Roman" w:cs="Times New Roman"/>
          <w:b w:val="0"/>
          <w:i w:val="0"/>
          <w:color w:val="000000"/>
          <w:sz w:val="24"/>
        </w:rPr>
        <w:t>Creator types were classified into five categories. As shown in Table 1, organisations constituted the largest group (n = 85, 42.5%), followed by certified fitness professionals (n = 31, 15.5%), general users (n = 30, 15.0%), fitness influencers (n = 27, 13.5%), and healthcare professionals (n = 17, 8.5%). Notably, organisations were particularly prevalent among traditional websites (n = 34, 68.0%) and YouTube (n = 25, 50.0%), reflecting the dominance of institutional content on these platforms. In contrast, TikTok and Instagram were characterised by greater diversity in creator types, with higher proportions of fitness influencers and general users.</w:t>
      </w:r>
    </w:p>
    <w:p>
      <w:pPr>
        <w:spacing w:line="360" w:lineRule="auto" w:after="80" w:before="0"/>
        <w:jc w:val="center"/>
      </w:pPr>
      <w:r>
        <w:rPr>
          <w:rFonts w:ascii="Times New Roman" w:hAnsi="Times New Roman" w:cs="Times New Roman"/>
          <w:b/>
          <w:i/>
          <w:color w:val="000000"/>
          <w:sz w:val="22"/>
        </w:rPr>
        <w:t>Table 1. Distribution of Creator Types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Creator Type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Healthcare Professional</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4 (8%)</w:t>
            </w:r>
          </w:p>
        </w:tc>
        <w:tc>
          <w:tcPr>
            <w:tcW w:type="dxa" w:w="1504"/>
          </w:tcPr>
          <w:p>
            <w:pPr>
              <w:spacing w:line="240" w:lineRule="auto" w:after="40" w:before="0"/>
              <w:jc w:val="center"/>
            </w:pPr>
            <w:r>
              <w:rPr>
                <w:rFonts w:ascii="Times New Roman" w:hAnsi="Times New Roman" w:cs="Times New Roman"/>
                <w:b w:val="0"/>
                <w:i w:val="0"/>
                <w:color w:val="000000"/>
                <w:sz w:val="20"/>
              </w:rPr>
              <w:t>17 (8.5%)</w:t>
            </w:r>
          </w:p>
        </w:tc>
      </w:tr>
      <w:tr>
        <w:tc>
          <w:tcPr>
            <w:tcW w:type="dxa" w:w="1504"/>
          </w:tcPr>
          <w:p>
            <w:pPr>
              <w:spacing w:line="240" w:lineRule="auto" w:after="40" w:before="0"/>
              <w:jc w:val="center"/>
            </w:pPr>
            <w:r>
              <w:rPr>
                <w:rFonts w:ascii="Times New Roman" w:hAnsi="Times New Roman" w:cs="Times New Roman"/>
                <w:b w:val="0"/>
                <w:i w:val="0"/>
                <w:color w:val="000000"/>
                <w:sz w:val="20"/>
              </w:rPr>
              <w:t>Certified Fitness Prof.</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10 (20%)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7 (14%)</w:t>
            </w:r>
          </w:p>
        </w:tc>
        <w:tc>
          <w:tcPr>
            <w:tcW w:type="dxa" w:w="1504"/>
          </w:tcPr>
          <w:p>
            <w:pPr>
              <w:spacing w:line="240" w:lineRule="auto" w:after="40" w:before="0"/>
              <w:jc w:val="center"/>
            </w:pPr>
            <w:r>
              <w:rPr>
                <w:rFonts w:ascii="Times New Roman" w:hAnsi="Times New Roman" w:cs="Times New Roman"/>
                <w:b w:val="0"/>
                <w:i w:val="0"/>
                <w:color w:val="000000"/>
                <w:sz w:val="20"/>
              </w:rPr>
              <w:t>31 (15.5%)</w:t>
            </w:r>
          </w:p>
        </w:tc>
      </w:tr>
      <w:tr>
        <w:tc>
          <w:tcPr>
            <w:tcW w:type="dxa" w:w="1504"/>
          </w:tcPr>
          <w:p>
            <w:pPr>
              <w:spacing w:line="240" w:lineRule="auto" w:after="40" w:before="0"/>
              <w:jc w:val="center"/>
            </w:pPr>
            <w:r>
              <w:rPr>
                <w:rFonts w:ascii="Times New Roman" w:hAnsi="Times New Roman" w:cs="Times New Roman"/>
                <w:b w:val="0"/>
                <w:i w:val="0"/>
                <w:color w:val="000000"/>
                <w:sz w:val="20"/>
              </w:rPr>
              <w:t>Fitness Influencer</w:t>
            </w:r>
          </w:p>
        </w:tc>
        <w:tc>
          <w:tcPr>
            <w:tcW w:type="dxa" w:w="1504"/>
          </w:tcPr>
          <w:p>
            <w:pPr>
              <w:spacing w:line="240" w:lineRule="auto" w:after="40" w:before="0"/>
              <w:jc w:val="center"/>
            </w:pPr>
            <w:r>
              <w:rPr>
                <w:rFonts w:ascii="Times New Roman" w:hAnsi="Times New Roman" w:cs="Times New Roman"/>
                <w:b w:val="0"/>
                <w:i w:val="0"/>
                <w:color w:val="000000"/>
                <w:sz w:val="20"/>
              </w:rPr>
              <w:t>2 (4%)</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12 (24%)</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27 (13.5%)</w:t>
            </w:r>
          </w:p>
        </w:tc>
      </w:tr>
      <w:tr>
        <w:tc>
          <w:tcPr>
            <w:tcW w:type="dxa" w:w="1504"/>
          </w:tcPr>
          <w:p>
            <w:pPr>
              <w:spacing w:line="240" w:lineRule="auto" w:after="40" w:before="0"/>
              <w:jc w:val="center"/>
            </w:pPr>
            <w:r>
              <w:rPr>
                <w:rFonts w:ascii="Times New Roman" w:hAnsi="Times New Roman" w:cs="Times New Roman"/>
                <w:b w:val="0"/>
                <w:i w:val="0"/>
                <w:color w:val="000000"/>
                <w:sz w:val="20"/>
              </w:rPr>
              <w:t>General User</w:t>
            </w:r>
          </w:p>
        </w:tc>
        <w:tc>
          <w:tcPr>
            <w:tcW w:type="dxa" w:w="1504"/>
          </w:tcPr>
          <w:p>
            <w:pPr>
              <w:spacing w:line="240" w:lineRule="auto" w:after="40" w:before="0"/>
              <w:jc w:val="center"/>
            </w:pPr>
            <w:r>
              <w:rPr>
                <w:rFonts w:ascii="Times New Roman" w:hAnsi="Times New Roman" w:cs="Times New Roman"/>
                <w:b w:val="0"/>
                <w:i w:val="0"/>
                <w:color w:val="000000"/>
                <w:sz w:val="20"/>
              </w:rPr>
              <w:t>3 (6%)</w:t>
            </w:r>
          </w:p>
        </w:tc>
        <w:tc>
          <w:tcPr>
            <w:tcW w:type="dxa" w:w="1504"/>
          </w:tcPr>
          <w:p>
            <w:pPr>
              <w:spacing w:line="240" w:lineRule="auto" w:after="40" w:before="0"/>
              <w:jc w:val="center"/>
            </w:pPr>
            <w:r>
              <w:rPr>
                <w:rFonts w:ascii="Times New Roman" w:hAnsi="Times New Roman" w:cs="Times New Roman"/>
                <w:b w:val="0"/>
                <w:i w:val="0"/>
                <w:color w:val="000000"/>
                <w:sz w:val="20"/>
              </w:rPr>
              <w:t>6 (12%)</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30 (15.0%)</w:t>
            </w:r>
          </w:p>
        </w:tc>
      </w:tr>
      <w:tr>
        <w:tc>
          <w:tcPr>
            <w:tcW w:type="dxa" w:w="1504"/>
          </w:tcPr>
          <w:p>
            <w:pPr>
              <w:spacing w:line="240" w:lineRule="auto" w:after="40" w:before="0"/>
              <w:jc w:val="center"/>
            </w:pPr>
            <w:r>
              <w:rPr>
                <w:rFonts w:ascii="Times New Roman" w:hAnsi="Times New Roman" w:cs="Times New Roman"/>
                <w:b w:val="0"/>
                <w:i w:val="0"/>
                <w:color w:val="000000"/>
                <w:sz w:val="20"/>
              </w:rPr>
              <w:t>Organisation</w:t>
            </w:r>
          </w:p>
        </w:tc>
        <w:tc>
          <w:tcPr>
            <w:tcW w:type="dxa" w:w="1504"/>
          </w:tcPr>
          <w:p>
            <w:pPr>
              <w:spacing w:line="240" w:lineRule="auto" w:after="40" w:before="0"/>
              <w:jc w:val="center"/>
            </w:pPr>
            <w:r>
              <w:rPr>
                <w:rFonts w:ascii="Times New Roman" w:hAnsi="Times New Roman" w:cs="Times New Roman"/>
                <w:b w:val="0"/>
                <w:i w:val="0"/>
                <w:color w:val="000000"/>
                <w:sz w:val="20"/>
              </w:rPr>
              <w:t>34 (68%)</w:t>
            </w:r>
          </w:p>
        </w:tc>
        <w:tc>
          <w:tcPr>
            <w:tcW w:type="dxa" w:w="1504"/>
          </w:tcPr>
          <w:p>
            <w:pPr>
              <w:spacing w:line="240" w:lineRule="auto" w:after="40" w:before="0"/>
              <w:jc w:val="center"/>
            </w:pPr>
            <w:r>
              <w:rPr>
                <w:rFonts w:ascii="Times New Roman" w:hAnsi="Times New Roman" w:cs="Times New Roman"/>
                <w:b w:val="0"/>
                <w:i w:val="0"/>
                <w:color w:val="000000"/>
                <w:sz w:val="20"/>
              </w:rPr>
              <w:t>25 (50%)</w:t>
            </w:r>
          </w:p>
        </w:tc>
        <w:tc>
          <w:tcPr>
            <w:tcW w:type="dxa" w:w="1504"/>
          </w:tcPr>
          <w:p>
            <w:pPr>
              <w:spacing w:line="240" w:lineRule="auto" w:after="40" w:before="0"/>
              <w:jc w:val="center"/>
            </w:pPr>
            <w:r>
              <w:rPr>
                <w:rFonts w:ascii="Times New Roman" w:hAnsi="Times New Roman" w:cs="Times New Roman"/>
                <w:b w:val="0"/>
                <w:i w:val="0"/>
                <w:color w:val="000000"/>
                <w:sz w:val="20"/>
              </w:rPr>
              <w:t>18 (36%)</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85 (42.5%)</w:t>
            </w:r>
          </w:p>
        </w:tc>
      </w:tr>
      <w:tr>
        <w:tc>
          <w:tcPr>
            <w:tcW w:type="dxa" w:w="1504"/>
          </w:tcPr>
          <w:p>
            <w:pPr>
              <w:spacing w:line="240" w:lineRule="auto" w:after="40" w:before="0"/>
              <w:jc w:val="center"/>
            </w:pPr>
            <w:r>
              <w:rPr>
                <w:rFonts w:ascii="Times New Roman" w:hAnsi="Times New Roman" w:cs="Times New Roman"/>
                <w:b w:val="0"/>
                <w:i w:val="0"/>
                <w:color w:val="000000"/>
                <w:sz w:val="20"/>
              </w:rPr>
              <w:t>Total</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50</w:t>
            </w:r>
          </w:p>
        </w:tc>
        <w:tc>
          <w:tcPr>
            <w:tcW w:type="dxa" w:w="1504"/>
          </w:tcPr>
          <w:p>
            <w:pPr>
              <w:spacing w:line="240" w:lineRule="auto" w:after="40" w:before="0"/>
              <w:jc w:val="center"/>
            </w:pPr>
            <w:r>
              <w:rPr>
                <w:rFonts w:ascii="Times New Roman" w:hAnsi="Times New Roman" w:cs="Times New Roman"/>
                <w:b w:val="0"/>
                <w:i w:val="0"/>
                <w:color w:val="000000"/>
                <w:sz w:val="20"/>
              </w:rPr>
              <w:t>200</w:t>
            </w:r>
          </w:p>
        </w:tc>
      </w:tr>
    </w:tbl>
    <w:p>
      <w:pPr>
        <w:spacing w:line="360" w:lineRule="auto" w:after="120" w:before="0"/>
        <w:jc w:val="both"/>
      </w:pPr>
      <w:r>
        <w:rPr>
          <w:rFonts w:ascii="Times New Roman" w:hAnsi="Times New Roman" w:cs="Times New Roman"/>
          <w:b w:val="0"/>
          <w:i w:val="0"/>
          <w:color w:val="000000"/>
          <w:sz w:val="24"/>
        </w:rPr>
        <w:t>Content formats varied substantially across platforms (Table 2). Traditional websites exclusively comprised text articles (n = 50, 100%). YouTube content consisted primarily of long-form videos exceeding five minutes (n = 45, 90.0%), with five short videos. TikTok featured predominantly short videos under 60 seconds (n = 42, 84.0%), while Instagram was dominated by carousels (n = 37, 74.0%) and image-with-caption posts (n = 13, 26.0%).</w:t>
      </w:r>
    </w:p>
    <w:p>
      <w:pPr>
        <w:spacing w:line="360" w:lineRule="auto" w:after="80" w:before="0"/>
        <w:jc w:val="center"/>
      </w:pPr>
      <w:r>
        <w:rPr>
          <w:rFonts w:ascii="Times New Roman" w:hAnsi="Times New Roman" w:cs="Times New Roman"/>
          <w:b/>
          <w:i/>
          <w:color w:val="000000"/>
          <w:sz w:val="22"/>
        </w:rPr>
        <w:t>Table 2. Distribution of Content Formats by Platform</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fill="D9E2F3" w:val="clear"/>
          </w:tcPr>
          <w:p>
            <w:pPr>
              <w:spacing w:line="240" w:lineRule="auto" w:after="40" w:before="0"/>
              <w:jc w:val="center"/>
            </w:pPr>
            <w:r>
              <w:rPr>
                <w:rFonts w:ascii="Times New Roman" w:hAnsi="Times New Roman" w:cs="Times New Roman"/>
                <w:b/>
                <w:i w:val="0"/>
                <w:color w:val="000000"/>
                <w:sz w:val="20"/>
              </w:rPr>
              <w:t>Format</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Instagram</w:t>
            </w:r>
          </w:p>
        </w:tc>
        <w:tc>
          <w:tcPr>
            <w:tcW w:type="dxa" w:w="1504"/>
            <w:shd w:fill="D9E2F3" w:val="clear"/>
          </w:tcPr>
          <w:p>
            <w:pPr>
              <w:spacing w:line="240" w:lineRule="auto" w:after="40" w:before="0"/>
              <w:jc w:val="center"/>
            </w:pPr>
            <w:r>
              <w:rPr>
                <w:rFonts w:ascii="Times New Roman" w:hAnsi="Times New Roman" w:cs="Times New Roman"/>
                <w:b/>
                <w:i w:val="0"/>
                <w:color w:val="000000"/>
                <w:sz w:val="20"/>
              </w:rPr>
              <w:t>Total</w:t>
            </w:r>
          </w:p>
        </w:tc>
      </w:tr>
      <w:tr>
        <w:tc>
          <w:tcPr>
            <w:tcW w:type="dxa" w:w="1504"/>
          </w:tcPr>
          <w:p>
            <w:pPr>
              <w:spacing w:line="240" w:lineRule="auto" w:after="40" w:before="0"/>
              <w:jc w:val="center"/>
            </w:pPr>
            <w:r>
              <w:rPr>
                <w:rFonts w:ascii="Times New Roman" w:hAnsi="Times New Roman" w:cs="Times New Roman"/>
                <w:b w:val="0"/>
                <w:i w:val="0"/>
                <w:color w:val="000000"/>
                <w:sz w:val="20"/>
              </w:rPr>
              <w:t>Text Article</w:t>
            </w:r>
          </w:p>
        </w:tc>
        <w:tc>
          <w:tcPr>
            <w:tcW w:type="dxa" w:w="1504"/>
          </w:tcPr>
          <w:p>
            <w:pPr>
              <w:spacing w:line="240" w:lineRule="auto" w:after="40" w:before="0"/>
              <w:jc w:val="center"/>
            </w:pPr>
            <w:r>
              <w:rPr>
                <w:rFonts w:ascii="Times New Roman" w:hAnsi="Times New Roman" w:cs="Times New Roman"/>
                <w:b w:val="0"/>
                <w:i w:val="0"/>
                <w:color w:val="000000"/>
                <w:sz w:val="20"/>
              </w:rPr>
              <w:t>50 (100%)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50 (25.0%)</w:t>
            </w:r>
          </w:p>
        </w:tc>
      </w:tr>
      <w:tr>
        <w:tc>
          <w:tcPr>
            <w:tcW w:type="dxa" w:w="1504"/>
          </w:tcPr>
          <w:p>
            <w:pPr>
              <w:spacing w:line="240" w:lineRule="auto" w:after="40" w:before="0"/>
              <w:jc w:val="center"/>
            </w:pPr>
            <w:r>
              <w:rPr>
                <w:rFonts w:ascii="Times New Roman" w:hAnsi="Times New Roman" w:cs="Times New Roman"/>
                <w:b w:val="0"/>
                <w:i w:val="0"/>
                <w:color w:val="000000"/>
                <w:sz w:val="20"/>
              </w:rPr>
              <w:t>Long Video (&gt;5 min)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(90%)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45 (22.5%)</w:t>
            </w:r>
          </w:p>
        </w:tc>
      </w:tr>
      <w:tr>
        <w:tc>
          <w:tcPr>
            <w:tcW w:type="dxa" w:w="1504"/>
          </w:tcPr>
          <w:p>
            <w:pPr>
              <w:spacing w:line="240" w:lineRule="auto" w:after="40" w:before="0"/>
              <w:jc w:val="center"/>
            </w:pPr>
            <w:r>
              <w:rPr>
                <w:rFonts w:ascii="Times New Roman" w:hAnsi="Times New Roman" w:cs="Times New Roman"/>
                <w:b w:val="0"/>
                <w:i w:val="0"/>
                <w:color w:val="000000"/>
                <w:sz w:val="20"/>
              </w:rPr>
              <w:t>Short Video (&lt;60 s)</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5 (10%)</w:t>
            </w:r>
          </w:p>
        </w:tc>
        <w:tc>
          <w:tcPr>
            <w:tcW w:type="dxa" w:w="1504"/>
          </w:tcPr>
          <w:p>
            <w:pPr>
              <w:spacing w:line="240" w:lineRule="auto" w:after="40" w:before="0"/>
              <w:jc w:val="center"/>
            </w:pPr>
            <w:r>
              <w:rPr>
                <w:rFonts w:ascii="Times New Roman" w:hAnsi="Times New Roman" w:cs="Times New Roman"/>
                <w:b w:val="0"/>
                <w:i w:val="0"/>
                <w:color w:val="000000"/>
                <w:sz w:val="20"/>
              </w:rPr>
              <w:t>42 (84%)</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47 (23.5%)</w:t>
            </w:r>
          </w:p>
        </w:tc>
      </w:tr>
      <w:tr>
        <w:tc>
          <w:tcPr>
            <w:tcW w:type="dxa" w:w="1504"/>
          </w:tcPr>
          <w:p>
            <w:pPr>
              <w:spacing w:line="240" w:lineRule="auto" w:after="40" w:before="0"/>
              <w:jc w:val="center"/>
            </w:pPr>
            <w:r>
              <w:rPr>
                <w:rFonts w:ascii="Times New Roman" w:hAnsi="Times New Roman" w:cs="Times New Roman"/>
                <w:b w:val="0"/>
                <w:i w:val="0"/>
                <w:color w:val="000000"/>
                <w:sz w:val="20"/>
              </w:rPr>
              <w:t>Image + Caption</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8 (16%)</w:t>
            </w:r>
          </w:p>
        </w:tc>
        <w:tc>
          <w:tcPr>
            <w:tcW w:type="dxa" w:w="1504"/>
          </w:tcPr>
          <w:p>
            <w:pPr>
              <w:spacing w:line="240" w:lineRule="auto" w:after="40" w:before="0"/>
              <w:jc w:val="center"/>
            </w:pPr>
            <w:r>
              <w:rPr>
                <w:rFonts w:ascii="Times New Roman" w:hAnsi="Times New Roman" w:cs="Times New Roman"/>
                <w:b w:val="0"/>
                <w:i w:val="0"/>
                <w:color w:val="000000"/>
                <w:sz w:val="20"/>
              </w:rPr>
              <w:t>13 (26%)</w:t>
            </w:r>
          </w:p>
        </w:tc>
        <w:tc>
          <w:tcPr>
            <w:tcW w:type="dxa" w:w="1504"/>
          </w:tcPr>
          <w:p>
            <w:pPr>
              <w:spacing w:line="240" w:lineRule="auto" w:after="40" w:before="0"/>
              <w:jc w:val="center"/>
            </w:pPr>
            <w:r>
              <w:rPr>
                <w:rFonts w:ascii="Times New Roman" w:hAnsi="Times New Roman" w:cs="Times New Roman"/>
                <w:b w:val="0"/>
                <w:i w:val="0"/>
                <w:color w:val="000000"/>
                <w:sz w:val="20"/>
              </w:rPr>
              <w:t>21 (10.5%)</w:t>
            </w:r>
          </w:p>
        </w:tc>
      </w:tr>
      <w:tr>
        <w:tc>
          <w:tcPr>
            <w:tcW w:type="dxa" w:w="1504"/>
          </w:tcPr>
          <w:p>
            <w:pPr>
              <w:spacing w:line="240" w:lineRule="auto" w:after="40" w:before="0"/>
              <w:jc w:val="center"/>
            </w:pPr>
            <w:r>
              <w:rPr>
                <w:rFonts w:ascii="Times New Roman" w:hAnsi="Times New Roman" w:cs="Times New Roman"/>
                <w:b w:val="0"/>
                <w:i w:val="0"/>
                <w:color w:val="000000"/>
                <w:sz w:val="20"/>
              </w:rPr>
              <w:t>Carousel</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0</w:t>
            </w:r>
          </w:p>
        </w:tc>
        <w:tc>
          <w:tcPr>
            <w:tcW w:type="dxa" w:w="1504"/>
          </w:tcPr>
          <w:p>
            <w:pPr>
              <w:spacing w:line="240" w:lineRule="auto" w:after="40" w:before="0"/>
              <w:jc w:val="center"/>
            </w:pPr>
            <w:r>
              <w:rPr>
                <w:rFonts w:ascii="Times New Roman" w:hAnsi="Times New Roman" w:cs="Times New Roman"/>
                <w:b w:val="0"/>
                <w:i w:val="0"/>
                <w:color w:val="000000"/>
                <w:sz w:val="20"/>
              </w:rPr>
              <w:t>37 (74%)</w:t>
            </w:r>
          </w:p>
        </w:tc>
        <w:tc>
          <w:tcPr>
            <w:tcW w:type="dxa" w:w="1504"/>
          </w:tcPr>
          <w:p>
            <w:pPr>
              <w:spacing w:line="240" w:lineRule="auto" w:after="40" w:before="0"/>
              <w:jc w:val="center"/>
            </w:pPr>
            <w:r>
              <w:rPr>
                <w:rFonts w:ascii="Times New Roman" w:hAnsi="Times New Roman" w:cs="Times New Roman"/>
                <w:b w:val="0"/>
                <w:i w:val="0"/>
                <w:color w:val="000000"/>
                <w:sz w:val="20"/>
              </w:rPr>
              <w:t>37 (18.5%)</w:t>
            </w:r>
          </w:p>
        </w:tc>
      </w:tr>
    </w:tbl>
    <w:p>
      <w:pPr>
        <w:spacing w:line="360" w:lineRule="auto" w:after="200" w:before="0"/>
        <w:jc w:val="both"/>
      </w:pPr>
      <w:r>
        <w:rPr>
          <w:rFonts w:ascii="Times New Roman" w:hAnsi="Times New Roman" w:cs="Times New Roman"/>
          <w:b/>
          <w:i w:val="0"/>
          <w:color w:val="000000"/>
          <w:sz w:val="26"/>
        </w:rPr>
        <w:t>3.2 Inter-Rater Reliability</w:t>
      </w:r>
    </w:p>
    <w:p>
      <w:pPr>
        <w:spacing w:line="360" w:lineRule="auto" w:after="120" w:before="0"/>
        <w:jc w:val="both"/>
      </w:pPr>
      <w:r>
        <w:rPr>
          <w:rFonts w:ascii="Times New Roman" w:hAnsi="Times New Roman" w:cs="Times New Roman"/>
          <w:b w:val="0"/>
          <w:i w:val="0"/>
          <w:color w:val="000000"/>
          <w:sz w:val="24"/>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pPr>
        <w:spacing w:line="360" w:lineRule="auto" w:after="120" w:before="0"/>
        <w:jc w:val="both"/>
      </w:pPr>
      <w:r>
        <w:rPr>
          <w:rFonts w:ascii="Times New Roman" w:hAnsi="Times New Roman" w:cs="Times New Roman"/>
          <w:b w:val="0"/>
          <w:i w:val="0"/>
          <w:color w:val="000000"/>
          <w:sz w:val="24"/>
        </w:rPr>
        <w:t>For the four binary JAMA benchmark criteria, inter-rater agreement was assessed using Cohen's kappa. Authorship (kappa = 0.671) and Attribution (kappa = 0.615) demonstrated substantial agreement (Landis &amp; Koch, 1977). However, Disclosure (kappa = 0.273) and Currency (kappa = 0.216) yielded only fair agreement. These lower kappa values should be interpreted with caution due to the kappa paradox (Feinstein &amp; Cicchetti, 1990): when the prevalence of one category is very high (e.g., Currency was coded 'Yes' for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pPr>
        <w:spacing w:line="360" w:lineRule="auto" w:after="200" w:before="0"/>
        <w:jc w:val="both"/>
      </w:pPr>
      <w:r>
        <w:rPr>
          <w:rFonts w:ascii="Times New Roman" w:hAnsi="Times New Roman" w:cs="Times New Roman"/>
          <w:b/>
          <w:i w:val="0"/>
          <w:color w:val="000000"/>
          <w:sz w:val="26"/>
        </w:rPr>
        <w:t>3.3 DISCERN Scores by Platform</w:t>
      </w:r>
    </w:p>
    <w:p>
      <w:pPr>
        <w:spacing w:line="360" w:lineRule="auto" w:after="120" w:before="0"/>
        <w:jc w:val="both"/>
      </w:pPr>
      <w:r>
        <w:rPr>
          <w:rFonts w:ascii="Times New Roman" w:hAnsi="Times New Roman" w:cs="Times New Roman"/>
          <w:b w:val="0"/>
          <w:i w:val="0"/>
          <w:color w:val="000000"/>
          <w:sz w:val="24"/>
        </w:rPr>
        <w:t>Descriptive statistics for DISCERN total scores by platform are presented in Table 3. The overall sample mean was 38.71 (SD = 10.09), with a median of 38.0 (range: 17–64). Traditional websites achieved the highest median score (Mdn = 48.5, IQR = 9.75), followed by YouTube (Mdn = 42.0, IQR = 9.00), TikTok (Mdn = 35.0, IQR = 8.50), and Instagram (Mdn = 27.5, IQR = 9.00). Using commonly adopted thresholds from subsequent DISCERN literature (16–26 = very poor, 27–38 = poor, 39–50 = fair, 51–62 = good, 63–80 = excellent), the modal category for websites was 'fair' (44%), for YouTube 'fair' (48%), for TikTok 'poor' (54%), and for Instagram 'poor' (50%). Notably, 42% of Instagram items scored in the 'very poor' range, compared with 0% for both websites and YouTube.</w:t>
      </w:r>
    </w:p>
    <w:p>
      <w:pPr>
        <w:spacing w:line="360" w:lineRule="auto" w:after="80" w:before="0"/>
        <w:jc w:val="center"/>
      </w:pPr>
      <w:r>
        <w:rPr>
          <w:rFonts w:ascii="Times New Roman" w:hAnsi="Times New Roman" w:cs="Times New Roman"/>
          <w:b/>
          <w:i/>
          <w:color w:val="000000"/>
          <w:sz w:val="22"/>
        </w:rPr>
        <w:t>Table 3. DISCERN Total Scores by Platform</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fill="D9E2F3" w:val="clear"/>
          </w:tcPr>
          <w:p>
            <w:pPr>
              <w:spacing w:line="240" w:lineRule="auto" w:after="40" w:before="0"/>
              <w:jc w:val="center"/>
            </w:pPr>
            <w:r>
              <w:rPr>
                <w:rFonts w:ascii="Times New Roman" w:hAnsi="Times New Roman" w:cs="Times New Roman"/>
                <w:b/>
                <w:i w:val="0"/>
                <w:color w:val="000000"/>
                <w:sz w:val="20"/>
              </w:rPr>
              <w:t>Platform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SD</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Mdn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Q1</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Q3</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Min</w:t>
            </w:r>
          </w:p>
        </w:tc>
        <w:tc>
          <w:tcPr>
            <w:tcW w:type="dxa" w:w="1003"/>
            <w:shd w:fill="D9E2F3" w:val="clear"/>
          </w:tcPr>
          <w:p>
            <w:pPr>
              <w:spacing w:line="240" w:lineRule="auto" w:after="40" w:before="0"/>
              <w:jc w:val="center"/>
            </w:pPr>
            <w:r>
              <w:rPr>
                <w:rFonts w:ascii="Times New Roman" w:hAnsi="Times New Roman" w:cs="Times New Roman"/>
                <w:b/>
                <w:i w:val="0"/>
                <w:color w:val="000000"/>
                <w:sz w:val="20"/>
              </w:rPr>
              <w:t>Max</w:t>
            </w:r>
          </w:p>
        </w:tc>
      </w:tr>
      <w:tr>
        <w:tc>
          <w:tcPr>
            <w:tcW w:type="dxa" w:w="1003"/>
          </w:tcPr>
          <w:p>
            <w:pPr>
              <w:spacing w:line="240" w:lineRule="auto" w:after="40" w:before="0"/>
              <w:jc w:val="center"/>
            </w:pPr>
            <w:r>
              <w:rPr>
                <w:rFonts w:ascii="Times New Roman" w:hAnsi="Times New Roman" w:cs="Times New Roman"/>
                <w:b w:val="0"/>
                <w:i w:val="0"/>
                <w:color w:val="000000"/>
                <w:sz w:val="20"/>
              </w:rPr>
              <w:t>Website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47.02</w:t>
            </w:r>
          </w:p>
        </w:tc>
        <w:tc>
          <w:tcPr>
            <w:tcW w:type="dxa" w:w="1003"/>
          </w:tcPr>
          <w:p>
            <w:pPr>
              <w:spacing w:line="240" w:lineRule="auto" w:after="40" w:before="0"/>
              <w:jc w:val="center"/>
            </w:pPr>
            <w:r>
              <w:rPr>
                <w:rFonts w:ascii="Times New Roman" w:hAnsi="Times New Roman" w:cs="Times New Roman"/>
                <w:b w:val="0"/>
                <w:i w:val="0"/>
                <w:color w:val="000000"/>
                <w:sz w:val="20"/>
              </w:rPr>
              <w:t>7.90</w:t>
            </w:r>
          </w:p>
        </w:tc>
        <w:tc>
          <w:tcPr>
            <w:tcW w:type="dxa" w:w="1003"/>
          </w:tcPr>
          <w:p>
            <w:pPr>
              <w:spacing w:line="240" w:lineRule="auto" w:after="40" w:before="0"/>
              <w:jc w:val="center"/>
            </w:pPr>
            <w:r>
              <w:rPr>
                <w:rFonts w:ascii="Times New Roman" w:hAnsi="Times New Roman" w:cs="Times New Roman"/>
                <w:b w:val="0"/>
                <w:i w:val="0"/>
                <w:color w:val="000000"/>
                <w:sz w:val="20"/>
              </w:rPr>
              <w:t>48.5</w:t>
            </w:r>
          </w:p>
        </w:tc>
        <w:tc>
          <w:tcPr>
            <w:tcW w:type="dxa" w:w="1003"/>
          </w:tcPr>
          <w:p>
            <w:pPr>
              <w:spacing w:line="240" w:lineRule="auto" w:after="40" w:before="0"/>
              <w:jc w:val="center"/>
            </w:pPr>
            <w:r>
              <w:rPr>
                <w:rFonts w:ascii="Times New Roman" w:hAnsi="Times New Roman" w:cs="Times New Roman"/>
                <w:b w:val="0"/>
                <w:i w:val="0"/>
                <w:color w:val="000000"/>
                <w:sz w:val="20"/>
              </w:rPr>
              <w:t>43.00</w:t>
            </w:r>
          </w:p>
        </w:tc>
        <w:tc>
          <w:tcPr>
            <w:tcW w:type="dxa" w:w="1003"/>
          </w:tcPr>
          <w:p>
            <w:pPr>
              <w:spacing w:line="240" w:lineRule="auto" w:after="40" w:before="0"/>
              <w:jc w:val="center"/>
            </w:pPr>
            <w:r>
              <w:rPr>
                <w:rFonts w:ascii="Times New Roman" w:hAnsi="Times New Roman" w:cs="Times New Roman"/>
                <w:b w:val="0"/>
                <w:i w:val="0"/>
                <w:color w:val="000000"/>
                <w:sz w:val="20"/>
              </w:rPr>
              <w:t>52.75</w:t>
            </w:r>
          </w:p>
        </w:tc>
        <w:tc>
          <w:tcPr>
            <w:tcW w:type="dxa" w:w="1003"/>
          </w:tcPr>
          <w:p>
            <w:pPr>
              <w:spacing w:line="240" w:lineRule="auto" w:after="40" w:before="0"/>
              <w:jc w:val="center"/>
            </w:pPr>
            <w:r>
              <w:rPr>
                <w:rFonts w:ascii="Times New Roman" w:hAnsi="Times New Roman" w:cs="Times New Roman"/>
                <w:b w:val="0"/>
                <w:i w:val="0"/>
                <w:color w:val="000000"/>
                <w:sz w:val="20"/>
              </w:rPr>
              <w:t>28</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r>
        <w:tc>
          <w:tcPr>
            <w:tcW w:type="dxa" w:w="1003"/>
          </w:tcPr>
          <w:p>
            <w:pPr>
              <w:spacing w:line="240" w:lineRule="auto" w:after="40" w:before="0"/>
              <w:jc w:val="center"/>
            </w:pPr>
            <w:r>
              <w:rPr>
                <w:rFonts w:ascii="Times New Roman" w:hAnsi="Times New Roman" w:cs="Times New Roman"/>
                <w:b w:val="0"/>
                <w:i w:val="0"/>
                <w:color w:val="000000"/>
                <w:sz w:val="20"/>
              </w:rPr>
              <w:t>YouTube</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42.88</w:t>
            </w:r>
          </w:p>
        </w:tc>
        <w:tc>
          <w:tcPr>
            <w:tcW w:type="dxa" w:w="1003"/>
          </w:tcPr>
          <w:p>
            <w:pPr>
              <w:spacing w:line="240" w:lineRule="auto" w:after="40" w:before="0"/>
              <w:jc w:val="center"/>
            </w:pPr>
            <w:r>
              <w:rPr>
                <w:rFonts w:ascii="Times New Roman" w:hAnsi="Times New Roman" w:cs="Times New Roman"/>
                <w:b w:val="0"/>
                <w:i w:val="0"/>
                <w:color w:val="000000"/>
                <w:sz w:val="20"/>
              </w:rPr>
              <w:t>7.10</w:t>
            </w:r>
          </w:p>
        </w:tc>
        <w:tc>
          <w:tcPr>
            <w:tcW w:type="dxa" w:w="1003"/>
          </w:tcPr>
          <w:p>
            <w:pPr>
              <w:spacing w:line="240" w:lineRule="auto" w:after="40" w:before="0"/>
              <w:jc w:val="center"/>
            </w:pPr>
            <w:r>
              <w:rPr>
                <w:rFonts w:ascii="Times New Roman" w:hAnsi="Times New Roman" w:cs="Times New Roman"/>
                <w:b w:val="0"/>
                <w:i w:val="0"/>
                <w:color w:val="000000"/>
                <w:sz w:val="20"/>
              </w:rPr>
              <w:t>42.0</w:t>
            </w:r>
          </w:p>
        </w:tc>
        <w:tc>
          <w:tcPr>
            <w:tcW w:type="dxa" w:w="1003"/>
          </w:tcPr>
          <w:p>
            <w:pPr>
              <w:spacing w:line="240" w:lineRule="auto" w:after="40" w:before="0"/>
              <w:jc w:val="center"/>
            </w:pPr>
            <w:r>
              <w:rPr>
                <w:rFonts w:ascii="Times New Roman" w:hAnsi="Times New Roman" w:cs="Times New Roman"/>
                <w:b w:val="0"/>
                <w:i w:val="0"/>
                <w:color w:val="000000"/>
                <w:sz w:val="20"/>
              </w:rPr>
              <w:t>38.00</w:t>
            </w:r>
          </w:p>
        </w:tc>
        <w:tc>
          <w:tcPr>
            <w:tcW w:type="dxa" w:w="1003"/>
          </w:tcPr>
          <w:p>
            <w:pPr>
              <w:spacing w:line="240" w:lineRule="auto" w:after="40" w:before="0"/>
              <w:jc w:val="center"/>
            </w:pPr>
            <w:r>
              <w:rPr>
                <w:rFonts w:ascii="Times New Roman" w:hAnsi="Times New Roman" w:cs="Times New Roman"/>
                <w:b w:val="0"/>
                <w:i w:val="0"/>
                <w:color w:val="000000"/>
                <w:sz w:val="20"/>
              </w:rPr>
              <w:t>47.00</w:t>
            </w:r>
          </w:p>
        </w:tc>
        <w:tc>
          <w:tcPr>
            <w:tcW w:type="dxa" w:w="1003"/>
          </w:tcPr>
          <w:p>
            <w:pPr>
              <w:spacing w:line="240" w:lineRule="auto" w:after="40" w:before="0"/>
              <w:jc w:val="center"/>
            </w:pPr>
            <w:r>
              <w:rPr>
                <w:rFonts w:ascii="Times New Roman" w:hAnsi="Times New Roman" w:cs="Times New Roman"/>
                <w:b w:val="0"/>
                <w:i w:val="0"/>
                <w:color w:val="000000"/>
                <w:sz w:val="20"/>
              </w:rPr>
              <w:t>30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TikTok</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35.96</w:t>
            </w:r>
          </w:p>
        </w:tc>
        <w:tc>
          <w:tcPr>
            <w:tcW w:type="dxa" w:w="1003"/>
          </w:tcPr>
          <w:p>
            <w:pPr>
              <w:spacing w:line="240" w:lineRule="auto" w:after="40" w:before="0"/>
              <w:jc w:val="center"/>
            </w:pPr>
            <w:r>
              <w:rPr>
                <w:rFonts w:ascii="Times New Roman" w:hAnsi="Times New Roman" w:cs="Times New Roman"/>
                <w:b w:val="0"/>
                <w:i w:val="0"/>
                <w:color w:val="000000"/>
                <w:sz w:val="20"/>
              </w:rPr>
              <w:t>7.86</w:t>
            </w:r>
          </w:p>
        </w:tc>
        <w:tc>
          <w:tcPr>
            <w:tcW w:type="dxa" w:w="1003"/>
          </w:tcPr>
          <w:p>
            <w:pPr>
              <w:spacing w:line="240" w:lineRule="auto" w:after="40" w:before="0"/>
              <w:jc w:val="center"/>
            </w:pPr>
            <w:r>
              <w:rPr>
                <w:rFonts w:ascii="Times New Roman" w:hAnsi="Times New Roman" w:cs="Times New Roman"/>
                <w:b w:val="0"/>
                <w:i w:val="0"/>
                <w:color w:val="000000"/>
                <w:sz w:val="20"/>
              </w:rPr>
              <w:t>35.0</w:t>
            </w:r>
          </w:p>
        </w:tc>
        <w:tc>
          <w:tcPr>
            <w:tcW w:type="dxa" w:w="1003"/>
          </w:tcPr>
          <w:p>
            <w:pPr>
              <w:spacing w:line="240" w:lineRule="auto" w:after="40" w:before="0"/>
              <w:jc w:val="center"/>
            </w:pPr>
            <w:r>
              <w:rPr>
                <w:rFonts w:ascii="Times New Roman" w:hAnsi="Times New Roman" w:cs="Times New Roman"/>
                <w:b w:val="0"/>
                <w:i w:val="0"/>
                <w:color w:val="000000"/>
                <w:sz w:val="20"/>
              </w:rPr>
              <w:t>31.25</w:t>
            </w:r>
          </w:p>
        </w:tc>
        <w:tc>
          <w:tcPr>
            <w:tcW w:type="dxa" w:w="1003"/>
          </w:tcPr>
          <w:p>
            <w:pPr>
              <w:spacing w:line="240" w:lineRule="auto" w:after="40" w:before="0"/>
              <w:jc w:val="center"/>
            </w:pPr>
            <w:r>
              <w:rPr>
                <w:rFonts w:ascii="Times New Roman" w:hAnsi="Times New Roman" w:cs="Times New Roman"/>
                <w:b w:val="0"/>
                <w:i w:val="0"/>
                <w:color w:val="000000"/>
                <w:sz w:val="20"/>
              </w:rPr>
              <w:t>39.75</w:t>
            </w:r>
          </w:p>
        </w:tc>
        <w:tc>
          <w:tcPr>
            <w:tcW w:type="dxa" w:w="1003"/>
          </w:tcPr>
          <w:p>
            <w:pPr>
              <w:spacing w:line="240" w:lineRule="auto" w:after="40" w:before="0"/>
              <w:jc w:val="center"/>
            </w:pPr>
            <w:r>
              <w:rPr>
                <w:rFonts w:ascii="Times New Roman" w:hAnsi="Times New Roman" w:cs="Times New Roman"/>
                <w:b w:val="0"/>
                <w:i w:val="0"/>
                <w:color w:val="000000"/>
                <w:sz w:val="20"/>
              </w:rPr>
              <w:t>20</w:t>
            </w:r>
          </w:p>
        </w:tc>
        <w:tc>
          <w:tcPr>
            <w:tcW w:type="dxa" w:w="1003"/>
          </w:tcPr>
          <w:p>
            <w:pPr>
              <w:spacing w:line="240" w:lineRule="auto" w:after="40" w:before="0"/>
              <w:jc w:val="center"/>
            </w:pPr>
            <w:r>
              <w:rPr>
                <w:rFonts w:ascii="Times New Roman" w:hAnsi="Times New Roman" w:cs="Times New Roman"/>
                <w:b w:val="0"/>
                <w:i w:val="0"/>
                <w:color w:val="000000"/>
                <w:sz w:val="20"/>
              </w:rPr>
              <w:t>57</w:t>
            </w:r>
          </w:p>
        </w:tc>
      </w:tr>
      <w:tr>
        <w:tc>
          <w:tcPr>
            <w:tcW w:type="dxa" w:w="1003"/>
          </w:tcPr>
          <w:p>
            <w:pPr>
              <w:spacing w:line="240" w:lineRule="auto" w:after="40" w:before="0"/>
              <w:jc w:val="center"/>
            </w:pPr>
            <w:r>
              <w:rPr>
                <w:rFonts w:ascii="Times New Roman" w:hAnsi="Times New Roman" w:cs="Times New Roman"/>
                <w:b w:val="0"/>
                <w:i w:val="0"/>
                <w:color w:val="000000"/>
                <w:sz w:val="20"/>
              </w:rPr>
              <w:t>Instagram</w:t>
            </w:r>
          </w:p>
        </w:tc>
        <w:tc>
          <w:tcPr>
            <w:tcW w:type="dxa" w:w="1003"/>
          </w:tcPr>
          <w:p>
            <w:pPr>
              <w:spacing w:line="240" w:lineRule="auto" w:after="40" w:before="0"/>
              <w:jc w:val="center"/>
            </w:pPr>
            <w:r>
              <w:rPr>
                <w:rFonts w:ascii="Times New Roman" w:hAnsi="Times New Roman" w:cs="Times New Roman"/>
                <w:b w:val="0"/>
                <w:i w:val="0"/>
                <w:color w:val="000000"/>
                <w:sz w:val="20"/>
              </w:rPr>
              <w:t>50</w:t>
            </w:r>
          </w:p>
        </w:tc>
        <w:tc>
          <w:tcPr>
            <w:tcW w:type="dxa" w:w="1003"/>
          </w:tcPr>
          <w:p>
            <w:pPr>
              <w:spacing w:line="240" w:lineRule="auto" w:after="40" w:before="0"/>
              <w:jc w:val="center"/>
            </w:pPr>
            <w:r>
              <w:rPr>
                <w:rFonts w:ascii="Times New Roman" w:hAnsi="Times New Roman" w:cs="Times New Roman"/>
                <w:b w:val="0"/>
                <w:i w:val="0"/>
                <w:color w:val="000000"/>
                <w:sz w:val="20"/>
              </w:rPr>
              <w:t>28.98</w:t>
            </w:r>
          </w:p>
        </w:tc>
        <w:tc>
          <w:tcPr>
            <w:tcW w:type="dxa" w:w="1003"/>
          </w:tcPr>
          <w:p>
            <w:pPr>
              <w:spacing w:line="240" w:lineRule="auto" w:after="40" w:before="0"/>
              <w:jc w:val="center"/>
            </w:pPr>
            <w:r>
              <w:rPr>
                <w:rFonts w:ascii="Times New Roman" w:hAnsi="Times New Roman" w:cs="Times New Roman"/>
                <w:b w:val="0"/>
                <w:i w:val="0"/>
                <w:color w:val="000000"/>
                <w:sz w:val="20"/>
              </w:rPr>
              <w:t>6.82</w:t>
            </w:r>
          </w:p>
        </w:tc>
        <w:tc>
          <w:tcPr>
            <w:tcW w:type="dxa" w:w="1003"/>
          </w:tcPr>
          <w:p>
            <w:pPr>
              <w:spacing w:line="240" w:lineRule="auto" w:after="40" w:before="0"/>
              <w:jc w:val="center"/>
            </w:pPr>
            <w:r>
              <w:rPr>
                <w:rFonts w:ascii="Times New Roman" w:hAnsi="Times New Roman" w:cs="Times New Roman"/>
                <w:b w:val="0"/>
                <w:i w:val="0"/>
                <w:color w:val="000000"/>
                <w:sz w:val="20"/>
              </w:rPr>
              <w:t>27.5</w:t>
            </w:r>
          </w:p>
        </w:tc>
        <w:tc>
          <w:tcPr>
            <w:tcW w:type="dxa" w:w="1003"/>
          </w:tcPr>
          <w:p>
            <w:pPr>
              <w:spacing w:line="240" w:lineRule="auto" w:after="40" w:before="0"/>
              <w:jc w:val="center"/>
            </w:pPr>
            <w:r>
              <w:rPr>
                <w:rFonts w:ascii="Times New Roman" w:hAnsi="Times New Roman" w:cs="Times New Roman"/>
                <w:b w:val="0"/>
                <w:i w:val="0"/>
                <w:color w:val="000000"/>
                <w:sz w:val="20"/>
              </w:rPr>
              <w:t>25.00</w:t>
            </w:r>
          </w:p>
        </w:tc>
        <w:tc>
          <w:tcPr>
            <w:tcW w:type="dxa" w:w="1003"/>
          </w:tcPr>
          <w:p>
            <w:pPr>
              <w:spacing w:line="240" w:lineRule="auto" w:after="40" w:before="0"/>
              <w:jc w:val="center"/>
            </w:pPr>
            <w:r>
              <w:rPr>
                <w:rFonts w:ascii="Times New Roman" w:hAnsi="Times New Roman" w:cs="Times New Roman"/>
                <w:b w:val="0"/>
                <w:i w:val="0"/>
                <w:color w:val="000000"/>
                <w:sz w:val="20"/>
              </w:rPr>
              <w:t>34.00</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52</w:t>
            </w:r>
          </w:p>
        </w:tc>
      </w:tr>
      <w:tr>
        <w:tc>
          <w:tcPr>
            <w:tcW w:type="dxa" w:w="1003"/>
          </w:tcPr>
          <w:p>
            <w:pPr>
              <w:spacing w:line="240" w:lineRule="auto" w:after="40" w:before="0"/>
              <w:jc w:val="center"/>
            </w:pPr>
            <w:r>
              <w:rPr>
                <w:rFonts w:ascii="Times New Roman" w:hAnsi="Times New Roman" w:cs="Times New Roman"/>
                <w:b w:val="0"/>
                <w:i w:val="0"/>
                <w:color w:val="000000"/>
                <w:sz w:val="20"/>
              </w:rPr>
              <w:t>Overall</w:t>
            </w:r>
          </w:p>
        </w:tc>
        <w:tc>
          <w:tcPr>
            <w:tcW w:type="dxa" w:w="1003"/>
          </w:tcPr>
          <w:p>
            <w:pPr>
              <w:spacing w:line="240" w:lineRule="auto" w:after="40" w:before="0"/>
              <w:jc w:val="center"/>
            </w:pPr>
            <w:r>
              <w:rPr>
                <w:rFonts w:ascii="Times New Roman" w:hAnsi="Times New Roman" w:cs="Times New Roman"/>
                <w:b w:val="0"/>
                <w:i w:val="0"/>
                <w:color w:val="000000"/>
                <w:sz w:val="20"/>
              </w:rPr>
              <w:t>200</w:t>
            </w:r>
          </w:p>
        </w:tc>
        <w:tc>
          <w:tcPr>
            <w:tcW w:type="dxa" w:w="1003"/>
          </w:tcPr>
          <w:p>
            <w:pPr>
              <w:spacing w:line="240" w:lineRule="auto" w:after="40" w:before="0"/>
              <w:jc w:val="center"/>
            </w:pPr>
            <w:r>
              <w:rPr>
                <w:rFonts w:ascii="Times New Roman" w:hAnsi="Times New Roman" w:cs="Times New Roman"/>
                <w:b w:val="0"/>
                <w:i w:val="0"/>
                <w:color w:val="000000"/>
                <w:sz w:val="20"/>
              </w:rPr>
              <w:t>38.71</w:t>
            </w:r>
          </w:p>
        </w:tc>
        <w:tc>
          <w:tcPr>
            <w:tcW w:type="dxa" w:w="1003"/>
          </w:tcPr>
          <w:p>
            <w:pPr>
              <w:spacing w:line="240" w:lineRule="auto" w:after="40" w:before="0"/>
              <w:jc w:val="center"/>
            </w:pPr>
            <w:r>
              <w:rPr>
                <w:rFonts w:ascii="Times New Roman" w:hAnsi="Times New Roman" w:cs="Times New Roman"/>
                <w:b w:val="0"/>
                <w:i w:val="0"/>
                <w:color w:val="000000"/>
                <w:sz w:val="20"/>
              </w:rPr>
              <w:t>10.09</w:t>
            </w:r>
          </w:p>
        </w:tc>
        <w:tc>
          <w:tcPr>
            <w:tcW w:type="dxa" w:w="1003"/>
          </w:tcPr>
          <w:p>
            <w:pPr>
              <w:spacing w:line="240" w:lineRule="auto" w:after="40" w:before="0"/>
              <w:jc w:val="center"/>
            </w:pPr>
            <w:r>
              <w:rPr>
                <w:rFonts w:ascii="Times New Roman" w:hAnsi="Times New Roman" w:cs="Times New Roman"/>
                <w:b w:val="0"/>
                <w:i w:val="0"/>
                <w:color w:val="000000"/>
                <w:sz w:val="20"/>
              </w:rPr>
              <w:t>38.0</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w:t>
            </w:r>
          </w:p>
        </w:tc>
        <w:tc>
          <w:tcPr>
            <w:tcW w:type="dxa" w:w="1003"/>
          </w:tcPr>
          <w:p>
            <w:pPr>
              <w:spacing w:line="240" w:lineRule="auto" w:after="40" w:before="0"/>
              <w:jc w:val="center"/>
            </w:pPr>
            <w:r>
              <w:rPr>
                <w:rFonts w:ascii="Times New Roman" w:hAnsi="Times New Roman" w:cs="Times New Roman"/>
                <w:b w:val="0"/>
                <w:i w:val="0"/>
                <w:color w:val="000000"/>
                <w:sz w:val="20"/>
              </w:rPr>
              <w:t>17</w:t>
            </w:r>
          </w:p>
        </w:tc>
        <w:tc>
          <w:tcPr>
            <w:tcW w:type="dxa" w:w="1003"/>
          </w:tcPr>
          <w:p>
            <w:pPr>
              <w:spacing w:line="240" w:lineRule="auto" w:after="40" w:before="0"/>
              <w:jc w:val="center"/>
            </w:pPr>
            <w:r>
              <w:rPr>
                <w:rFonts w:ascii="Times New Roman" w:hAnsi="Times New Roman" w:cs="Times New Roman"/>
                <w:b w:val="0"/>
                <w:i w:val="0"/>
                <w:color w:val="000000"/>
                <w:sz w:val="20"/>
              </w:rPr>
              <w:t>64</w:t>
            </w:r>
          </w:p>
        </w:tc>
      </w:tr>
    </w:tbl>
    <w:p>
      <w:pPr>
        <w:spacing w:line="360" w:lineRule="auto" w:after="120" w:before="0"/>
        <w:jc w:val="both"/>
      </w:pPr>
      <w:r>
        <w:rPr>
          <w:rFonts w:ascii="Times New Roman" w:hAnsi="Times New Roman" w:cs="Times New Roman"/>
          <w:b w:val="0"/>
          <w:i w:val="0"/>
          <w:color w:val="000000"/>
          <w:sz w:val="24"/>
        </w:rPr>
        <w:t>Note. M = mean; SD = standard deviation; Mdn = median; Q1 = 25th percentile; Q3 = 75th percentile. DISCERN score categories are based on commonly adopted thresholds in the health information quality literature.</w:t>
      </w:r>
    </w:p>
    <w:p>
      <w:pPr>
        <w:spacing w:line="240" w:lineRule="auto" w:after="80" w:before="0"/>
        <w:jc w:val="center"/>
      </w:pPr>
      <w:r>
        <w:drawing>
          <wp:inline xmlns:a="http://schemas.openxmlformats.org/drawingml/2006/main" xmlns:pic="http://schemas.openxmlformats.org/drawingml/2006/picture">
            <wp:extent cx="5029200" cy="3857584"/>
            <wp:docPr id="1" name="Picture 1"/>
            <wp:cNvGraphicFramePr>
              <a:graphicFrameLocks noChangeAspect="1"/>
            </wp:cNvGraphicFramePr>
            <a:graphic>
              <a:graphicData uri="http://schemas.openxmlformats.org/drawingml/2006/picture">
                <pic:pic>
                  <pic:nvPicPr>
                    <pic:cNvPr id="0" name="fig1_discern_boxplot.png"/>
                    <pic:cNvPicPr/>
                  </pic:nvPicPr>
                  <pic:blipFill>
                    <a:blip r:embed="rId9"/>
                    <a:stretch>
                      <a:fillRect/>
                    </a:stretch>
                  </pic:blipFill>
                  <pic:spPr>
                    <a:xfrm>
                      <a:off x="0" y="0"/>
                      <a:ext cx="5029200" cy="385758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1. Box plot of DISCERN total scores by platform. The horizontal line within each box represents the median; box boundaries indicate Q1 and Q3; whiskers extend to 1.5 times the IQR.</w:t>
      </w:r>
    </w:p>
    <w:p>
      <w:pPr>
        <w:spacing w:line="360" w:lineRule="auto" w:after="120" w:before="0"/>
        <w:jc w:val="both"/>
      </w:pPr>
      <w:r>
        <w:rPr>
          <w:rFonts w:ascii="Times New Roman" w:hAnsi="Times New Roman" w:cs="Times New Roman"/>
          <w:b w:val="0"/>
          <w:i w:val="0"/>
          <w:color w:val="000000"/>
          <w:sz w:val="24"/>
        </w:rPr>
        <w:t>A Kruskal-Wallis H test confirmed that DISCERN total scores differed significantly across the four platforms, H(3) = 93.84, p &lt; .001. The estimated eta-squared (eta-squared = 0.46) indicated a large effect size. It should be noted that eta-squared derived from the Kruskal-Wallis statistic is an approximation and should be interpreted as indicating a large effect rather than a precise proportion of variance explained.</w:t>
      </w:r>
    </w:p>
    <w:p>
      <w:pPr>
        <w:spacing w:line="360" w:lineRule="auto" w:after="120" w:before="0"/>
        <w:jc w:val="both"/>
      </w:pPr>
      <w:r>
        <w:rPr>
          <w:rFonts w:ascii="Times New Roman" w:hAnsi="Times New Roman" w:cs="Times New Roman"/>
          <w:b w:val="0"/>
          <w:i w:val="0"/>
          <w:color w:val="000000"/>
          <w:sz w:val="24"/>
        </w:rPr>
        <w:t>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similar in information quality than other pairings. The remaining comparisons—Website versus TikTok (U = 2088, p &lt; .001, r = -0.670), YouTube versus TikTok (U = 1859, p &lt; .001, r = -0.487), and TikTok versus Instagram (U = 1883, p &lt; .001, r = -0.506)—all yielded medium to large effects.</w:t>
      </w:r>
    </w:p>
    <w:p>
      <w:pPr>
        <w:spacing w:line="240" w:lineRule="auto" w:after="80" w:before="0"/>
        <w:jc w:val="center"/>
      </w:pPr>
      <w:r>
        <w:drawing>
          <wp:inline xmlns:a="http://schemas.openxmlformats.org/drawingml/2006/main" xmlns:pic="http://schemas.openxmlformats.org/drawingml/2006/picture">
            <wp:extent cx="5029200" cy="3131166"/>
            <wp:docPr id="2" name="Picture 2"/>
            <wp:cNvGraphicFramePr>
              <a:graphicFrameLocks noChangeAspect="1"/>
            </wp:cNvGraphicFramePr>
            <a:graphic>
              <a:graphicData uri="http://schemas.openxmlformats.org/drawingml/2006/picture">
                <pic:pic>
                  <pic:nvPicPr>
                    <pic:cNvPr id="0" name="fig2_discern_categories.png"/>
                    <pic:cNvPicPr/>
                  </pic:nvPicPr>
                  <pic:blipFill>
                    <a:blip r:embed="rId10"/>
                    <a:stretch>
                      <a:fillRect/>
                    </a:stretch>
                  </pic:blipFill>
                  <pic:spPr>
                    <a:xfrm>
                      <a:off x="0" y="0"/>
                      <a:ext cx="5029200" cy="3131166"/>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2. Distribution of DISCERN quality categories by platform. Categories are based on conventional thresholds: Very Poor (16–26), Poor (27–38), Fair (39–50), Good (51–62), and Excellent (63–80).</w:t>
      </w:r>
    </w:p>
    <w:p>
      <w:pPr>
        <w:spacing w:line="360" w:lineRule="auto" w:after="120" w:before="0"/>
        <w:jc w:val="both"/>
      </w:pPr>
      <w:r>
        <w:rPr>
          <w:rFonts w:ascii="Times New Roman" w:hAnsi="Times New Roman" w:cs="Times New Roman"/>
          <w:b w:val="0"/>
          <w:i w:val="0"/>
          <w:color w:val="000000"/>
          <w:sz w:val="24"/>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pPr>
        <w:spacing w:line="360" w:lineRule="auto" w:after="200" w:before="0"/>
        <w:jc w:val="both"/>
      </w:pPr>
      <w:r>
        <w:rPr>
          <w:rFonts w:ascii="Times New Roman" w:hAnsi="Times New Roman" w:cs="Times New Roman"/>
          <w:b/>
          <w:i w:val="0"/>
          <w:color w:val="000000"/>
          <w:sz w:val="26"/>
        </w:rPr>
        <w:t>3.4 JAMA Benchmark Compliance by Platform</w:t>
      </w:r>
    </w:p>
    <w:p>
      <w:pPr>
        <w:spacing w:line="360" w:lineRule="auto" w:after="120" w:before="0"/>
        <w:jc w:val="both"/>
      </w:pPr>
      <w:r>
        <w:rPr>
          <w:rFonts w:ascii="Times New Roman" w:hAnsi="Times New Roman" w:cs="Times New Roman"/>
          <w:b w:val="0"/>
          <w:i w:val="0"/>
          <w:color w:val="000000"/>
          <w:sz w:val="24"/>
        </w:rPr>
        <w:t>JAMA benchmark compliance varied by criterion and platform (Table 5). A Kruskal-Wallis test on JAMA total scores (range 0–4) revealed no statistically significant difference across platforms, H(3) = 5.43, p = .143.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comparisons are therefore more informative than total JAMA scores in this study.</w:t>
      </w:r>
    </w:p>
    <w:p>
      <w:pPr>
        <w:spacing w:line="360" w:lineRule="auto" w:after="120" w:before="0"/>
        <w:jc w:val="both"/>
      </w:pPr>
      <w:r>
        <w:rPr>
          <w:rFonts w:ascii="Times New Roman" w:hAnsi="Times New Roman" w:cs="Times New Roman"/>
          <w:b w:val="0"/>
          <w:i w:val="0"/>
          <w:color w:val="000000"/>
          <w:sz w:val="24"/>
        </w:rPr>
        <w:t>However, chi-square tests on individual JAMA criteria revealed significant platform differences for three of the four benchmarks. Attribution differed significantly across platforms (p &lt; .001), with websites (30%) and YouTube (16%) demonstrating the highest compliance, while TikTok (0%) provided no source citations whatsoever. Disclosure also differed significantly (p = .001), with websites (16%) and TikTok (14%) showing the highest rates of sponsorship declaration; YouTube and Instagram both recorded 0% disclosure compliance. Currency showed significant variation (p &lt; .001), driven by the contrast between traditional websites (68%) and social media platforms (100% each), as social media posts inherently display their posting date. Authorship did not differ significantly across platforms (p = .104), with compliance ranging from 16% (Instagram) to 38% (YouTube).</w:t>
      </w:r>
    </w:p>
    <w:p>
      <w:pPr>
        <w:spacing w:line="360" w:lineRule="auto" w:after="80" w:before="0"/>
        <w:jc w:val="center"/>
      </w:pPr>
      <w:r>
        <w:rPr>
          <w:rFonts w:ascii="Times New Roman" w:hAnsi="Times New Roman" w:cs="Times New Roman"/>
          <w:b/>
          <w:i/>
          <w:color w:val="000000"/>
          <w:sz w:val="22"/>
        </w:rPr>
        <w:t>Table 4. JAMA Benchmark Compliance by Platform (%)</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fill="D9E2F3" w:val="clear"/>
          </w:tcPr>
          <w:p>
            <w:pPr>
              <w:spacing w:line="240" w:lineRule="auto" w:after="40" w:before="0"/>
              <w:jc w:val="center"/>
            </w:pPr>
            <w:r>
              <w:rPr>
                <w:rFonts w:ascii="Times New Roman" w:hAnsi="Times New Roman" w:cs="Times New Roman"/>
                <w:b/>
                <w:i w:val="0"/>
                <w:color w:val="000000"/>
                <w:sz w:val="20"/>
              </w:rPr>
              <w:t>Criterion</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Website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YouTube</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TikTok</w:t>
            </w:r>
          </w:p>
        </w:tc>
        <w:tc>
          <w:tcPr>
            <w:tcW w:type="dxa" w:w="1805"/>
            <w:shd w:fill="D9E2F3" w:val="clear"/>
          </w:tcPr>
          <w:p>
            <w:pPr>
              <w:spacing w:line="240" w:lineRule="auto" w:after="40" w:before="0"/>
              <w:jc w:val="center"/>
            </w:pPr>
            <w:r>
              <w:rPr>
                <w:rFonts w:ascii="Times New Roman" w:hAnsi="Times New Roman" w:cs="Times New Roman"/>
                <w:b/>
                <w:i w:val="0"/>
                <w:color w:val="000000"/>
                <w:sz w:val="20"/>
              </w:rPr>
              <w:t>Instagram</w:t>
            </w:r>
          </w:p>
        </w:tc>
      </w:tr>
      <w:tr>
        <w:tc>
          <w:tcPr>
            <w:tcW w:type="dxa" w:w="1805"/>
          </w:tcPr>
          <w:p>
            <w:pPr>
              <w:spacing w:line="240" w:lineRule="auto" w:after="40" w:before="0"/>
              <w:jc w:val="center"/>
            </w:pPr>
            <w:r>
              <w:rPr>
                <w:rFonts w:ascii="Times New Roman" w:hAnsi="Times New Roman" w:cs="Times New Roman"/>
                <w:b w:val="0"/>
                <w:i w:val="0"/>
                <w:color w:val="000000"/>
                <w:sz w:val="20"/>
              </w:rPr>
              <w:t>Authorship</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38%</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r>
      <w:tr>
        <w:tc>
          <w:tcPr>
            <w:tcW w:type="dxa" w:w="1805"/>
          </w:tcPr>
          <w:p>
            <w:pPr>
              <w:spacing w:line="240" w:lineRule="auto" w:after="40" w:before="0"/>
              <w:jc w:val="center"/>
            </w:pPr>
            <w:r>
              <w:rPr>
                <w:rFonts w:ascii="Times New Roman" w:hAnsi="Times New Roman" w:cs="Times New Roman"/>
                <w:b w:val="0"/>
                <w:i w:val="0"/>
                <w:color w:val="000000"/>
                <w:sz w:val="20"/>
              </w:rPr>
              <w:t>Attribution</w:t>
            </w:r>
          </w:p>
        </w:tc>
        <w:tc>
          <w:tcPr>
            <w:tcW w:type="dxa" w:w="1805"/>
          </w:tcPr>
          <w:p>
            <w:pPr>
              <w:spacing w:line="240" w:lineRule="auto" w:after="40" w:before="0"/>
              <w:jc w:val="center"/>
            </w:pPr>
            <w:r>
              <w:rPr>
                <w:rFonts w:ascii="Times New Roman" w:hAnsi="Times New Roman" w:cs="Times New Roman"/>
                <w:b w:val="0"/>
                <w:i w:val="0"/>
                <w:color w:val="000000"/>
                <w:sz w:val="20"/>
              </w:rPr>
              <w:t>30%</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4%</w:t>
            </w:r>
          </w:p>
        </w:tc>
      </w:tr>
      <w:tr>
        <w:tc>
          <w:tcPr>
            <w:tcW w:type="dxa" w:w="1805"/>
          </w:tcPr>
          <w:p>
            <w:pPr>
              <w:spacing w:line="240" w:lineRule="auto" w:after="40" w:before="0"/>
              <w:jc w:val="center"/>
            </w:pPr>
            <w:r>
              <w:rPr>
                <w:rFonts w:ascii="Times New Roman" w:hAnsi="Times New Roman" w:cs="Times New Roman"/>
                <w:b w:val="0"/>
                <w:i w:val="0"/>
                <w:color w:val="000000"/>
                <w:sz w:val="20"/>
              </w:rPr>
              <w:t>Disclosure</w:t>
            </w:r>
          </w:p>
        </w:tc>
        <w:tc>
          <w:tcPr>
            <w:tcW w:type="dxa" w:w="1805"/>
          </w:tcPr>
          <w:p>
            <w:pPr>
              <w:spacing w:line="240" w:lineRule="auto" w:after="40" w:before="0"/>
              <w:jc w:val="center"/>
            </w:pPr>
            <w:r>
              <w:rPr>
                <w:rFonts w:ascii="Times New Roman" w:hAnsi="Times New Roman" w:cs="Times New Roman"/>
                <w:b w:val="0"/>
                <w:i w:val="0"/>
                <w:color w:val="000000"/>
                <w:sz w:val="20"/>
              </w:rPr>
              <w:t>16%</w:t>
            </w:r>
          </w:p>
        </w:tc>
        <w:tc>
          <w:tcPr>
            <w:tcW w:type="dxa" w:w="1805"/>
          </w:tcPr>
          <w:p>
            <w:pPr>
              <w:spacing w:line="240" w:lineRule="auto" w:after="40" w:before="0"/>
              <w:jc w:val="center"/>
            </w:pPr>
            <w:r>
              <w:rPr>
                <w:rFonts w:ascii="Times New Roman" w:hAnsi="Times New Roman" w:cs="Times New Roman"/>
                <w:b w:val="0"/>
                <w:i w:val="0"/>
                <w:color w:val="000000"/>
                <w:sz w:val="20"/>
              </w:rPr>
              <w:t>0%</w:t>
            </w:r>
          </w:p>
        </w:tc>
        <w:tc>
          <w:tcPr>
            <w:tcW w:type="dxa" w:w="1805"/>
          </w:tcPr>
          <w:p>
            <w:pPr>
              <w:spacing w:line="240" w:lineRule="auto" w:after="40" w:before="0"/>
              <w:jc w:val="center"/>
            </w:pPr>
            <w:r>
              <w:rPr>
                <w:rFonts w:ascii="Times New Roman" w:hAnsi="Times New Roman" w:cs="Times New Roman"/>
                <w:b w:val="0"/>
                <w:i w:val="0"/>
                <w:color w:val="000000"/>
                <w:sz w:val="20"/>
              </w:rPr>
              <w:t>14%</w:t>
            </w:r>
          </w:p>
        </w:tc>
        <w:tc>
          <w:tcPr>
            <w:tcW w:type="dxa" w:w="1805"/>
          </w:tcPr>
          <w:p>
            <w:pPr>
              <w:spacing w:line="240" w:lineRule="auto" w:after="40" w:before="0"/>
              <w:jc w:val="center"/>
            </w:pPr>
            <w:r>
              <w:rPr>
                <w:rFonts w:ascii="Times New Roman" w:hAnsi="Times New Roman" w:cs="Times New Roman"/>
                <w:b w:val="0"/>
                <w:i w:val="0"/>
                <w:color w:val="000000"/>
                <w:sz w:val="20"/>
              </w:rPr>
              <w:t>0%</w:t>
            </w:r>
          </w:p>
        </w:tc>
      </w:tr>
      <w:tr>
        <w:tc>
          <w:tcPr>
            <w:tcW w:type="dxa" w:w="1805"/>
          </w:tcPr>
          <w:p>
            <w:pPr>
              <w:spacing w:line="240" w:lineRule="auto" w:after="40" w:before="0"/>
              <w:jc w:val="center"/>
            </w:pPr>
            <w:r>
              <w:rPr>
                <w:rFonts w:ascii="Times New Roman" w:hAnsi="Times New Roman" w:cs="Times New Roman"/>
                <w:b w:val="0"/>
                <w:i w:val="0"/>
                <w:color w:val="000000"/>
                <w:sz w:val="20"/>
              </w:rPr>
              <w:t>Currency</w:t>
            </w:r>
          </w:p>
        </w:tc>
        <w:tc>
          <w:tcPr>
            <w:tcW w:type="dxa" w:w="1805"/>
          </w:tcPr>
          <w:p>
            <w:pPr>
              <w:spacing w:line="240" w:lineRule="auto" w:after="40" w:before="0"/>
              <w:jc w:val="center"/>
            </w:pPr>
            <w:r>
              <w:rPr>
                <w:rFonts w:ascii="Times New Roman" w:hAnsi="Times New Roman" w:cs="Times New Roman"/>
                <w:b w:val="0"/>
                <w:i w:val="0"/>
                <w:color w:val="000000"/>
                <w:sz w:val="20"/>
              </w:rPr>
              <w:t>68%</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c>
          <w:tcPr>
            <w:tcW w:type="dxa" w:w="1805"/>
          </w:tcPr>
          <w:p>
            <w:pPr>
              <w:spacing w:line="240" w:lineRule="auto" w:after="40" w:before="0"/>
              <w:jc w:val="center"/>
            </w:pPr>
            <w:r>
              <w:rPr>
                <w:rFonts w:ascii="Times New Roman" w:hAnsi="Times New Roman" w:cs="Times New Roman"/>
                <w:b w:val="0"/>
                <w:i w:val="0"/>
                <w:color w:val="000000"/>
                <w:sz w:val="20"/>
              </w:rPr>
              <w:t>100%</w:t>
            </w:r>
          </w:p>
        </w:tc>
      </w:tr>
      <w:tr>
        <w:tc>
          <w:tcPr>
            <w:tcW w:type="dxa" w:w="1805"/>
          </w:tcPr>
          <w:p>
            <w:pPr>
              <w:spacing w:line="240" w:lineRule="auto" w:after="40" w:before="0"/>
              <w:jc w:val="center"/>
            </w:pPr>
            <w:r>
              <w:rPr>
                <w:rFonts w:ascii="Times New Roman" w:hAnsi="Times New Roman" w:cs="Times New Roman"/>
                <w:b w:val="0"/>
                <w:i w:val="0"/>
                <w:color w:val="000000"/>
                <w:sz w:val="20"/>
              </w:rPr>
              <w:t>Mean Total (0–4)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1.54</w:t>
            </w:r>
          </w:p>
        </w:tc>
        <w:tc>
          <w:tcPr>
            <w:tcW w:type="dxa" w:w="1805"/>
          </w:tcPr>
          <w:p>
            <w:pPr>
              <w:spacing w:line="240" w:lineRule="auto" w:after="40" w:before="0"/>
              <w:jc w:val="center"/>
            </w:pPr>
            <w:r>
              <w:rPr>
                <w:rFonts w:ascii="Times New Roman" w:hAnsi="Times New Roman" w:cs="Times New Roman"/>
                <w:b w:val="0"/>
                <w:i w:val="0"/>
                <w:color w:val="000000"/>
                <w:sz w:val="20"/>
              </w:rPr>
              <w:t>1.44</w:t>
            </w:r>
          </w:p>
        </w:tc>
        <w:tc>
          <w:tcPr>
            <w:tcW w:type="dxa" w:w="1805"/>
          </w:tcPr>
          <w:p>
            <w:pPr>
              <w:spacing w:line="240" w:lineRule="auto" w:after="40" w:before="0"/>
              <w:jc w:val="center"/>
            </w:pPr>
            <w:r>
              <w:rPr>
                <w:rFonts w:ascii="Times New Roman" w:hAnsi="Times New Roman" w:cs="Times New Roman"/>
                <w:b w:val="0"/>
                <w:i w:val="0"/>
                <w:color w:val="000000"/>
                <w:sz w:val="20"/>
              </w:rPr>
              <w:t>1.20</w:t>
            </w:r>
          </w:p>
        </w:tc>
      </w:tr>
    </w:tbl>
    <w:p>
      <w:pPr>
        <w:spacing w:line="240" w:lineRule="auto" w:after="80" w:before="0"/>
        <w:jc w:val="center"/>
      </w:pPr>
      <w:r>
        <w:drawing>
          <wp:inline xmlns:a="http://schemas.openxmlformats.org/drawingml/2006/main" xmlns:pic="http://schemas.openxmlformats.org/drawingml/2006/picture">
            <wp:extent cx="5029200" cy="3573194"/>
            <wp:docPr id="3" name="Picture 3"/>
            <wp:cNvGraphicFramePr>
              <a:graphicFrameLocks noChangeAspect="1"/>
            </wp:cNvGraphicFramePr>
            <a:graphic>
              <a:graphicData uri="http://schemas.openxmlformats.org/drawingml/2006/picture">
                <pic:pic>
                  <pic:nvPicPr>
                    <pic:cNvPr id="0" name="fig3_jama_heatmap.png"/>
                    <pic:cNvPicPr/>
                  </pic:nvPicPr>
                  <pic:blipFill>
                    <a:blip r:embed="rId11"/>
                    <a:stretch>
                      <a:fillRect/>
                    </a:stretch>
                  </pic:blipFill>
                  <pic:spPr>
                    <a:xfrm>
                      <a:off x="0" y="0"/>
                      <a:ext cx="5029200" cy="357319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3. Heatmap of JAMA benchmark compliance across platforms. Darker cells indicate higher compliance rates.</w:t>
      </w:r>
    </w:p>
    <w:p>
      <w:pPr>
        <w:spacing w:line="360" w:lineRule="auto" w:after="200" w:before="0"/>
        <w:jc w:val="both"/>
      </w:pPr>
      <w:r>
        <w:rPr>
          <w:rFonts w:ascii="Times New Roman" w:hAnsi="Times New Roman" w:cs="Times New Roman"/>
          <w:b/>
          <w:i w:val="0"/>
          <w:color w:val="000000"/>
          <w:sz w:val="26"/>
        </w:rPr>
        <w:t>3.5 Creator Type Analysis</w:t>
      </w:r>
    </w:p>
    <w:p>
      <w:pPr>
        <w:spacing w:line="360" w:lineRule="auto" w:after="120" w:before="0"/>
        <w:jc w:val="both"/>
      </w:pPr>
      <w:r>
        <w:rPr>
          <w:rFonts w:ascii="Times New Roman" w:hAnsi="Times New Roman" w:cs="Times New Roman"/>
          <w:b w:val="0"/>
          <w:i w:val="0"/>
          <w:color w:val="000000"/>
          <w:sz w:val="24"/>
        </w:rPr>
        <w:t>To address Research Question 2, creators were initially dichotomised into professional (healthcare professionals and certified fitness professionals, n = 48) and non-professional (fitness influencers, general users, and organisations, n = 152) categories. A Mann-Whitney U test comparing DISCERN total scores between these two groups yielded U = 4233, p = .094, r = -0.160. This result approached but did not reach conventional statistical significance at the alpha = .05 level, with a small effect size. Professional creators achieved a median DISCERN score of 41.0, compared with 37.5 for non-professional creators.</w:t>
      </w:r>
    </w:p>
    <w:p>
      <w:pPr>
        <w:spacing w:line="360" w:lineRule="auto" w:after="120" w:before="0"/>
        <w:jc w:val="both"/>
      </w:pPr>
      <w:r>
        <w:rPr>
          <w:rFonts w:ascii="Times New Roman" w:hAnsi="Times New Roman" w:cs="Times New Roman"/>
          <w:b w:val="0"/>
          <w:i w:val="0"/>
          <w:color w:val="000000"/>
          <w:sz w:val="24"/>
        </w:rPr>
        <w:t>It is important to note that the binary classification is complicated by the treatment of organisations (n = 85, 42.5%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healthcare professionals. As a sensitivity analysis, when organisations were excluded from the binary classification, the difference between professional (n = 48, Mdn = 41.0) and non-professional creators (n = 67, comprising fitness influencers and general users, Mdn = 35.0) remained non-significant, though the trend was more pronounced.</w:t>
      </w:r>
    </w:p>
    <w:p>
      <w:pPr>
        <w:spacing w:line="360" w:lineRule="auto" w:after="120" w:before="0"/>
        <w:jc w:val="both"/>
      </w:pPr>
      <w:r>
        <w:rPr>
          <w:rFonts w:ascii="Times New Roman" w:hAnsi="Times New Roman" w:cs="Times New Roman"/>
          <w:b w:val="0"/>
          <w:i w:val="0"/>
          <w:color w:val="000000"/>
          <w:sz w:val="24"/>
        </w:rPr>
        <w:t>A more informative picture emerged from the Kruskal-Wallis test comparing all five creator types individually, H(4) = 11.26, p = .024. General users scored lowest (Mdn = 33.0), while healthcare professionals and certified fitness professionals both achieved the highest median scores (Mdn = 41.0 each). Fitness influencers (Mdn = 36.0) and organisations (Mdn = 39.0) fell between these extremes. This five-category result is the more meaningful analysis: the binary classification was analytically crude, collapsing a heterogeneous group of organisations—ranging from NHS and WHO to commercial fitness brands—into the non-professional category, which diluted any real quality difference between credentialed and non-credentialed creators.</w:t>
      </w:r>
    </w:p>
    <w:p>
      <w:pPr>
        <w:spacing w:line="240" w:lineRule="auto" w:after="80" w:before="0"/>
        <w:jc w:val="center"/>
      </w:pPr>
      <w:r>
        <w:drawing>
          <wp:inline xmlns:a="http://schemas.openxmlformats.org/drawingml/2006/main" xmlns:pic="http://schemas.openxmlformats.org/drawingml/2006/picture">
            <wp:extent cx="5029200" cy="3294582"/>
            <wp:docPr id="4" name="Picture 4"/>
            <wp:cNvGraphicFramePr>
              <a:graphicFrameLocks noChangeAspect="1"/>
            </wp:cNvGraphicFramePr>
            <a:graphic>
              <a:graphicData uri="http://schemas.openxmlformats.org/drawingml/2006/picture">
                <pic:pic>
                  <pic:nvPicPr>
                    <pic:cNvPr id="0" name="fig4_creator_type_discern.png"/>
                    <pic:cNvPicPr/>
                  </pic:nvPicPr>
                  <pic:blipFill>
                    <a:blip r:embed="rId12"/>
                    <a:stretch>
                      <a:fillRect/>
                    </a:stretch>
                  </pic:blipFill>
                  <pic:spPr>
                    <a:xfrm>
                      <a:off x="0" y="0"/>
                      <a:ext cx="5029200" cy="3294582"/>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4. DISCERN total scores by creator type. Box plots show median, IQR, and individual observations.</w:t>
      </w:r>
    </w:p>
    <w:p>
      <w:pPr>
        <w:spacing w:line="360" w:lineRule="auto" w:after="200" w:before="0"/>
        <w:jc w:val="both"/>
      </w:pPr>
      <w:r>
        <w:rPr>
          <w:rFonts w:ascii="Times New Roman" w:hAnsi="Times New Roman" w:cs="Times New Roman"/>
          <w:b/>
          <w:i w:val="0"/>
          <w:color w:val="000000"/>
          <w:sz w:val="26"/>
        </w:rPr>
        <w:t>3.6 Engagement-Quality Relationship</w:t>
      </w:r>
    </w:p>
    <w:p>
      <w:pPr>
        <w:spacing w:line="360" w:lineRule="auto" w:after="120" w:before="0"/>
        <w:jc w:val="both"/>
      </w:pPr>
      <w:r>
        <w:rPr>
          <w:rFonts w:ascii="Times New Roman" w:hAnsi="Times New Roman" w:cs="Times New Roman"/>
          <w:b w:val="0"/>
          <w:i w:val="0"/>
          <w:color w:val="000000"/>
          <w:sz w:val="24"/>
        </w:rPr>
        <w:t>Research Question 3 examined whether engagement metrics were associated with information quality. Table 6 summarises the Spearman rank-order correlations between engagement indicators and DISCERN total scores.</w:t>
      </w:r>
    </w:p>
    <w:p>
      <w:pPr>
        <w:spacing w:line="360" w:lineRule="auto" w:after="120" w:before="0"/>
        <w:jc w:val="both"/>
      </w:pPr>
      <w:r>
        <w:rPr>
          <w:rFonts w:ascii="Times New Roman" w:hAnsi="Times New Roman" w:cs="Times New Roman"/>
          <w:b w:val="0"/>
          <w:i w:val="0"/>
          <w:color w:val="000000"/>
          <w:sz w:val="24"/>
        </w:rPr>
        <w:t>At the overall sample level (social media platforms only, n = 150 for views; N = 200 for likes and comments), views showed a negligible and non-significant correlation with DISCERN scores (rho = -0.073, p = .571). However, both likes (rho = 0.413, p &lt; .001) and comments (rho = 0.415, p &lt; .001) exhibited moderate positive correlations with quality scores.</w:t>
      </w:r>
    </w:p>
    <w:p>
      <w:pPr>
        <w:spacing w:line="360" w:lineRule="auto" w:after="120" w:before="0"/>
        <w:jc w:val="both"/>
      </w:pPr>
      <w:r>
        <w:rPr>
          <w:rFonts w:ascii="Times New Roman" w:hAnsi="Times New Roman" w:cs="Times New Roman"/>
          <w:b w:val="0"/>
          <w:i w:val="0"/>
          <w:color w:val="000000"/>
          <w:sz w:val="24"/>
        </w:rPr>
        <w:t>These overall positive correlations for likes and comments must be interpreted with considerable caution, as they represent a confounded association—an instance of Simpson's paradox. The positive overall relationship is driven largely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the likes–quality correlation was not significant for any platform: YouTube (rho = -0.279, p = .063), TikTok (rho = 0.280, p = .098), and Instagram (rho = -0.013, p = .936). This pattern strongly suggests that the overall positive correlation is an ecological artefact of platform-level differences rather than evidence that higher-quality content attracts more engagement within platforms.</w:t>
      </w:r>
    </w:p>
    <w:p>
      <w:pPr>
        <w:spacing w:line="360" w:lineRule="auto" w:after="120" w:before="0"/>
        <w:jc w:val="both"/>
      </w:pPr>
      <w:r>
        <w:rPr>
          <w:rFonts w:ascii="Times New Roman" w:hAnsi="Times New Roman" w:cs="Times New Roman"/>
          <w:b w:val="0"/>
          <w:i w:val="0"/>
          <w:color w:val="000000"/>
          <w:sz w:val="24"/>
        </w:rPr>
        <w:t>For views, a significant negative correlation was observed within YouTube (rho = -0.316, p = .035), suggesting that more frequently viewed YouTube physical activity videos tend to be of slightly lower quality. Within TikTok, the views–quality correlation was positive but non-significant (rho = 0.249, p = .318).</w:t>
      </w:r>
    </w:p>
    <w:p>
      <w:pPr>
        <w:spacing w:line="240" w:lineRule="auto" w:after="80" w:before="0"/>
        <w:jc w:val="center"/>
      </w:pPr>
      <w:r>
        <w:drawing>
          <wp:inline xmlns:a="http://schemas.openxmlformats.org/drawingml/2006/main" xmlns:pic="http://schemas.openxmlformats.org/drawingml/2006/picture">
            <wp:extent cx="5029200" cy="3458844"/>
            <wp:docPr id="5" name="Picture 5"/>
            <wp:cNvGraphicFramePr>
              <a:graphicFrameLocks noChangeAspect="1"/>
            </wp:cNvGraphicFramePr>
            <a:graphic>
              <a:graphicData uri="http://schemas.openxmlformats.org/drawingml/2006/picture">
                <pic:pic>
                  <pic:nvPicPr>
                    <pic:cNvPr id="0" name="fig5_engagement_vs_quality.png"/>
                    <pic:cNvPicPr/>
                  </pic:nvPicPr>
                  <pic:blipFill>
                    <a:blip r:embed="rId13"/>
                    <a:stretch>
                      <a:fillRect/>
                    </a:stretch>
                  </pic:blipFill>
                  <pic:spPr>
                    <a:xfrm>
                      <a:off x="0" y="0"/>
                      <a:ext cx="5029200" cy="3458844"/>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5. Scatter plots of engagement metrics versus DISCERN total scores by platform. Top row: views (Instagram lacks public view counts for non-Reel posts). Bottom row: likes. Trend lines are fitted using linear regression.</w:t>
      </w:r>
    </w:p>
    <w:p>
      <w:pPr>
        <w:spacing w:line="360" w:lineRule="auto" w:after="200" w:before="0"/>
        <w:jc w:val="both"/>
      </w:pPr>
      <w:r>
        <w:rPr>
          <w:rFonts w:ascii="Times New Roman" w:hAnsi="Times New Roman" w:cs="Times New Roman"/>
          <w:b/>
          <w:i w:val="0"/>
          <w:color w:val="000000"/>
          <w:sz w:val="26"/>
        </w:rPr>
        <w:t>3.7 DISCERN Question-Level Patterns</w:t>
      </w:r>
    </w:p>
    <w:p>
      <w:pPr>
        <w:spacing w:line="360" w:lineRule="auto" w:after="120" w:before="0"/>
        <w:jc w:val="both"/>
      </w:pPr>
      <w:r>
        <w:rPr>
          <w:rFonts w:ascii="Times New Roman" w:hAnsi="Times New Roman" w:cs="Times New Roman"/>
          <w:b w:val="0"/>
          <w:i w:val="0"/>
          <w:color w:val="000000"/>
          <w:sz w:val="24"/>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 underlying information was produced. Third, Q16 (overall quality rating) closely tracked the total DISCERN score pattern, with websites receiving the highest overall quality ratings and Instagram the lowest.</w:t>
      </w:r>
    </w:p>
    <w:p>
      <w:pPr>
        <w:spacing w:line="240" w:lineRule="auto" w:after="80" w:before="0"/>
        <w:jc w:val="center"/>
      </w:pPr>
      <w:r>
        <w:drawing>
          <wp:inline xmlns:a="http://schemas.openxmlformats.org/drawingml/2006/main" xmlns:pic="http://schemas.openxmlformats.org/drawingml/2006/picture">
            <wp:extent cx="5029200" cy="2317460"/>
            <wp:docPr id="6" name="Picture 6"/>
            <wp:cNvGraphicFramePr>
              <a:graphicFrameLocks noChangeAspect="1"/>
            </wp:cNvGraphicFramePr>
            <a:graphic>
              <a:graphicData uri="http://schemas.openxmlformats.org/drawingml/2006/picture">
                <pic:pic>
                  <pic:nvPicPr>
                    <pic:cNvPr id="0" name="fig6_discern_questions_heatmap.png"/>
                    <pic:cNvPicPr/>
                  </pic:nvPicPr>
                  <pic:blipFill>
                    <a:blip r:embed="rId14"/>
                    <a:stretch>
                      <a:fillRect/>
                    </a:stretch>
                  </pic:blipFill>
                  <pic:spPr>
                    <a:xfrm>
                      <a:off x="0" y="0"/>
                      <a:ext cx="5029200" cy="2317460"/>
                    </a:xfrm>
                    <a:prstGeom prst="rect"/>
                  </pic:spPr>
                </pic:pic>
              </a:graphicData>
            </a:graphic>
          </wp:inline>
        </w:drawing>
      </w:r>
    </w:p>
    <w:p>
      <w:pPr>
        <w:spacing w:line="240" w:lineRule="auto" w:after="240" w:before="0"/>
        <w:jc w:val="center"/>
      </w:pPr>
      <w:r>
        <w:rPr>
          <w:rFonts w:ascii="Times New Roman" w:hAnsi="Times New Roman" w:cs="Times New Roman"/>
          <w:b w:val="0"/>
          <w:i/>
          <w:color w:val="000000"/>
          <w:sz w:val="22"/>
        </w:rPr>
        <w:t>Figure 6. Heatmap of mean DISCERN item scores (Q1–Q16) by platform. Darker shading indicates higher mean scores (maximum = 5).</w:t>
      </w:r>
    </w:p>
    <w:p>
      <w:pPr>
        <w:spacing w:line="360" w:lineRule="auto" w:after="200" w:before="0"/>
        <w:jc w:val="both"/>
      </w:pPr>
      <w:r>
        <w:rPr>
          <w:rFonts w:ascii="Times New Roman" w:hAnsi="Times New Roman" w:cs="Times New Roman"/>
          <w:b/>
          <w:i w:val="0"/>
          <w:color w:val="000000"/>
          <w:sz w:val="26"/>
        </w:rPr>
        <w:t>3.8 Content Format and Search Term Effects</w:t>
      </w:r>
    </w:p>
    <w:p>
      <w:pPr>
        <w:spacing w:line="360" w:lineRule="auto" w:after="120" w:before="0"/>
        <w:jc w:val="both"/>
      </w:pPr>
      <w:r>
        <w:rPr>
          <w:rFonts w:ascii="Times New Roman" w:hAnsi="Times New Roman" w:cs="Times New Roman"/>
          <w:b w:val="0"/>
          <w:i w:val="0"/>
          <w:color w:val="000000"/>
          <w:sz w:val="24"/>
        </w:rPr>
        <w:t>Exploratory analysis of content format revealed notable differences in DISCERN scores. Long-form videos exceeding five minutes (predominantly YouTube; n = 45) achieved the highest median score (Mdn = 43.0, M = 43.1), followed by text articles (n = 50, Mdn = 48.5, M = 47.0, which were exclusive to websites). Short videos under 60 seconds (n = 18, Mdn = 31.5, M = 32.8) and carousel posts (n = 50, Mdn = 27.5, M = 29.0) scored substantially lower. These format differences are largely confounded with platform, as content formats were strongly associated with specific platforms.</w:t>
      </w:r>
    </w:p>
    <w:p>
      <w:pPr>
        <w:spacing w:line="360" w:lineRule="auto" w:after="120" w:before="0"/>
        <w:jc w:val="both"/>
      </w:pPr>
      <w:r>
        <w:rPr>
          <w:rFonts w:ascii="Times New Roman" w:hAnsi="Times New Roman" w:cs="Times New Roman"/>
          <w:b w:val="0"/>
          <w:i w:val="0"/>
          <w:color w:val="000000"/>
          <w:sz w:val="24"/>
        </w:rPr>
        <w:t>Search terms also influenced quality scores. A Kruskal-Wallis test indicated significant variation across the five search terms, H(4) = 27.72,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