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both"/>
      </w:pPr>
      <w:r>
        <w:rPr>
          <w:rFonts w:ascii="Times New Roman" w:hAnsi="Times New Roman" w:cs="Times New Roman"/>
          <w:b/>
          <w:i w:val="0"/>
          <w:color w:val="000000"/>
          <w:sz w:val="28"/>
        </w:rPr>
        <w:t>CHAPTER 4. DISCUSSION</w:t>
      </w:r>
    </w:p>
    <w:p>
      <w:pPr>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93.84, p &lt; .001, with a large effect size. All six pairwise comparisons were statistically significant, although the Website versus YouTube contrast yielded a notably smaller effect (p = .038, r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5.43, p = .143), though significant platform differences emerged for individual criteria—Attribution, Disclosure, and Currency—but not Authorship. Creator type exerted a marginally non-significant effect on quality in the binary analysis (p = .094), though the five-category Kruskal-Wallis test was significant (p = .024). Engagement–quality correlations were largely non-significant within platforms, and the apparent overall positive correlation between likes and quality was identified as a Simpson's paradox artefact.</w:t>
      </w:r>
    </w:p>
    <w:p>
      <w:pPr>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38.71 observed here. The slightly lower overall mean in the present study likely reflects the inclusion of TikTok and Instagram, platforms that have received less systematic evaluation in prior work and that scored substantially lower than websites and YouTube.</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.143)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pPr>
        <w:spacing w:line="360" w:lineRule="auto" w:after="120" w:before="0"/>
        <w:jc w:val="both"/>
      </w:pPr>
      <w:r>
        <w:rPr>
          <w:rFonts w:ascii="Times New Roman" w:hAnsi="Times New Roman" w:cs="Times New Roman"/>
          <w:b w:val="0"/>
          <w:i w:val="0"/>
          <w:color w:val="000000"/>
          <w:sz w:val="24"/>
        </w:rPr>
        <w:t>The significant variation in quality across search terms (H[4] = 27.72,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pPr>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do not predict quality within platforms undermines the common assumption that popular content is reliable content. This has implications for health literacy education: consumers should be taught that high view counts and engagement do not signal information trustworthiness. The negative correlation between views and quality on YouTube (rho = -0.316, p = .035) raises concern that the platform’s recommendation system may not reliably prioritise accurate health information, though this single cross-sectional correlation cannot establish a causal relationship between algorithmic promotion and content quality.</w:t>
      </w:r>
    </w:p>
    <w:p>
      <w:pPr>
        <w:spacing w:line="360" w:lineRule="auto" w:after="120" w:before="0"/>
        <w:jc w:val="both"/>
      </w:pPr>
      <w:r>
        <w:rPr>
          <w:rFonts w:ascii="Times New Roman" w:hAnsi="Times New Roman" w:cs="Times New Roman"/>
          <w:b w:val="0"/>
          <w:i w:val="0"/>
          <w:color w:val="000000"/>
          <w:sz w:val="24"/>
        </w:rPr>
        <w:t>Third, the creator type analysis reveals that the binary professional versus non-professional classification was analytically crude and failed to reach significance (p = .094). The five-category analysis is the more informative result (H[4] = 11.26, p = .024): it shows that general users score lowest (Mdn = 33.0), healthcare professionals and certified fitness professionals score highest (Mdn = 41.0 each), and fitness influencers and organisations fall between these extremes. This pattern suggests that creator type does moderate quality, but in a graded rather than dichotomous fashion. The binary null result is partially an artefact of grouping organisations (n = 85)—which include high-quality institutional sources such as NHS and WHO—into the non-professional category, thereby diluting the apparent quality advantage of credentialed creators.</w:t>
      </w:r>
    </w:p>
    <w:p>
      <w:pPr>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200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methodological differences in how text-based and video-based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85, 42.5%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pPr>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 content to address the metadata-only scoring limitation identified here. Fourth, the role of platform algorithms in promoting or suppressing high-quality health content warrants dedicated investigation, particularly given the negative views–quality correlation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