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40" w:line="360" w:lineRule="auto"/>
        <w:jc w:val="center"/>
      </w:pPr>
      <w:r>
        <w:rPr>
          <w:rFonts w:ascii="Times New Roman" w:hAnsi="Times New Roman" w:cs="Times New Roman"/>
          <w:rFonts w:ascii="Times New Roman" w:hAnsi="Times New Roman"/>
          <w:b/>
          <w:i w:val="0"/>
          <w:sz w:val="28"/>
        </w:rPr>
        <w:t>CHAPTER 2. RESEARCH METHODOLOGY</w:t>
      </w:r>
    </w:p>
    <w:p>
      <w:pPr>
        <w:spacing w:before="0" w:after="120" w:line="360" w:lineRule="auto"/>
        <w:ind w:firstLine="720"/>
        <w:jc w:val="both"/>
      </w:pPr>
      <w:r>
        <w:rPr>
          <w:rFonts w:ascii="Times New Roman" w:hAnsi="Times New Roman" w:cs="Times New Roman"/>
          <w:rFonts w:ascii="Times New Roman" w:hAnsi="Times New Roman"/>
          <w:b w:val="0"/>
          <w:i w:val="0"/>
          <w:sz w:val="24"/>
        </w:rPr>
        <w:t>This chapter presents the methodological framework employed to investigate the quality of physical activity (PA) information across traditional websites and social media platforms. The research methodology encompasses the research object, strategy and logic, nature of the research, description of research subjects, data collection and assessment methods, organisational procedures, and statistical analysis techniques. Each component is detailed to ensure transparency, replicability, and methodological rigour in alignment with established standards for content analysis in health communication research.</w:t>
      </w:r>
    </w:p>
    <w:p>
      <w:pPr>
        <w:pStyle w:val="Heading2"/>
        <w:spacing w:before="240" w:after="120" w:line="360" w:lineRule="auto"/>
        <w:jc w:val="left"/>
      </w:pPr>
      <w:r>
        <w:rPr>
          <w:rFonts w:ascii="Times New Roman" w:hAnsi="Times New Roman" w:cs="Times New Roman"/>
          <w:rFonts w:ascii="Times New Roman" w:hAnsi="Times New Roman"/>
          <w:b/>
          <w:i w:val="0"/>
          <w:sz w:val="24"/>
        </w:rPr>
        <w:t>2.1 Research Object</w:t>
      </w:r>
    </w:p>
    <w:p>
      <w:pPr>
        <w:spacing w:before="0" w:after="120" w:line="360" w:lineRule="auto"/>
        <w:ind w:firstLine="720"/>
        <w:jc w:val="both"/>
      </w:pPr>
      <w:r>
        <w:rPr>
          <w:rFonts w:ascii="Times New Roman" w:hAnsi="Times New Roman" w:cs="Times New Roman"/>
          <w:rFonts w:ascii="Times New Roman" w:hAnsi="Times New Roman"/>
          <w:b w:val="0"/>
          <w:i w:val="0"/>
          <w:sz w:val="24"/>
        </w:rPr>
        <w:t>The research object of the present study is the quality of physical activity information available on traditional websites and social media platforms. Specifically, this investigation examines health-related content pertaining to physical activity that is publicly accessible through Google search results (representing traditional web-based information), YouTube, TikTok, and Instagram (representing contemporary social media platforms). Physical activity information is defined as any content that provides guidance, recommendations, instructions, or educational material regarding exercise, fitness, or physical activity behaviours intended for a general adult audience.</w:t>
      </w:r>
    </w:p>
    <w:p>
      <w:pPr>
        <w:spacing w:before="0" w:after="120" w:line="360" w:lineRule="auto"/>
        <w:ind w:firstLine="720"/>
        <w:jc w:val="both"/>
      </w:pPr>
      <w:r>
        <w:rPr>
          <w:rFonts w:ascii="Times New Roman" w:hAnsi="Times New Roman" w:cs="Times New Roman"/>
          <w:rFonts w:ascii="Times New Roman" w:hAnsi="Times New Roman"/>
          <w:b w:val="0"/>
          <w:i w:val="0"/>
          <w:sz w:val="24"/>
        </w:rPr>
        <w:t>The assessment of information quality is operationalised through two established benchmarks: the DISCERN instrument (Charnock et al., 1999), which evaluates the reliability and completeness of health information, and the JAMA benchmarks (Silberg et al., 1997), which assess accountability standards including authorship, attribution, disclosure, and currency. Together, these instruments provide a comprehensive evaluation framework that captures both the substantive quality and the transparency of health information across diverse digital platforms.</w:t>
      </w:r>
    </w:p>
    <w:p>
      <w:pPr>
        <w:pStyle w:val="Heading2"/>
        <w:spacing w:before="240" w:after="120" w:line="360" w:lineRule="auto"/>
        <w:jc w:val="left"/>
      </w:pPr>
      <w:r>
        <w:rPr>
          <w:rFonts w:ascii="Times New Roman" w:hAnsi="Times New Roman" w:cs="Times New Roman"/>
          <w:rFonts w:ascii="Times New Roman" w:hAnsi="Times New Roman"/>
          <w:b/>
          <w:i w:val="0"/>
          <w:sz w:val="24"/>
        </w:rPr>
        <w:t>2.2 Research Strategy and Logic</w:t>
      </w:r>
    </w:p>
    <w:p>
      <w:pPr>
        <w:spacing w:before="0" w:after="120" w:line="360" w:lineRule="auto"/>
        <w:ind w:firstLine="720"/>
        <w:jc w:val="both"/>
      </w:pPr>
      <w:r>
        <w:rPr>
          <w:rFonts w:ascii="Times New Roman" w:hAnsi="Times New Roman" w:cs="Times New Roman"/>
          <w:rFonts w:ascii="Times New Roman" w:hAnsi="Times New Roman"/>
          <w:b w:val="0"/>
          <w:i w:val="0"/>
          <w:sz w:val="24"/>
        </w:rPr>
        <w:t>The present study employs a cross-sectional content analysis design, which enables the systematic examination and comparison of physical activity information quality across four digital platforms at a single point in time. Content analysis is a well-established research method in health communication that facilitates the objective, systematic, and quantitative description of manifest content (Krippendorff, 2018). The cross-sectional approach was selected for its capacity to capture a snapshot of the current information landscape, allowing for direct comparisons across platforms under identical assessment conditions.</w:t>
      </w:r>
    </w:p>
    <w:p>
      <w:pPr>
        <w:spacing w:before="0" w:after="120" w:line="360" w:lineRule="auto"/>
        <w:ind w:firstLine="720"/>
        <w:jc w:val="both"/>
      </w:pPr>
      <w:r>
        <w:rPr>
          <w:rFonts w:ascii="Times New Roman" w:hAnsi="Times New Roman" w:cs="Times New Roman"/>
          <w:rFonts w:ascii="Times New Roman" w:hAnsi="Times New Roman"/>
          <w:b w:val="0"/>
          <w:i w:val="0"/>
          <w:sz w:val="24"/>
        </w:rPr>
        <w:t>The research follows a deductive approach, applying established quality assessment frameworks—the DISCERN instrument and JAMA benchmarks—to evaluate content across a novel four-platform comparison. While these instruments were originally developed for traditional health information materials, they are widely used in studies of YouTube, TikTok, and Instagram health content despite recognised methodological concerns when applied to audiovisual and short-form media (Azer, 2020; Kong et al., 2021; Chea &amp; Lim, 2023). The present study therefore treats their use as a transparent, controlled adaptation rather than as a platform-specific validation.</w:t>
      </w:r>
    </w:p>
    <w:p>
      <w:pPr>
        <w:spacing w:before="0" w:after="120" w:line="360" w:lineRule="auto"/>
        <w:ind w:firstLine="720"/>
        <w:jc w:val="both"/>
      </w:pPr>
      <w:r>
        <w:rPr>
          <w:rFonts w:ascii="Times New Roman" w:hAnsi="Times New Roman" w:cs="Times New Roman"/>
          <w:rFonts w:ascii="Times New Roman" w:hAnsi="Times New Roman"/>
          <w:b w:val="0"/>
          <w:i w:val="0"/>
          <w:sz w:val="24"/>
        </w:rPr>
        <w:t>The study design was structured using the SPIDER framework (Cooke et al., 2012), adapted for content analysis as follows:</w:t>
      </w:r>
    </w:p>
    <w:p>
      <w:pPr>
        <w:spacing w:before="0" w:after="40" w:line="360" w:lineRule="auto"/>
        <w:ind w:left="720"/>
        <w:jc w:val="both"/>
      </w:pPr>
      <w:r>
        <w:rPr>
          <w:rFonts w:ascii="Times New Roman" w:hAnsi="Times New Roman" w:cs="Times New Roman"/>
          <w:rFonts w:ascii="Times New Roman" w:hAnsi="Times New Roman"/>
          <w:b/>
          <w:i w:val="0"/>
          <w:sz w:val="24"/>
        </w:rPr>
        <w:t xml:space="preserve">• Sample: </w:t>
      </w:r>
      <w:r>
        <w:rPr>
          <w:rFonts w:ascii="Times New Roman" w:hAnsi="Times New Roman" w:cs="Times New Roman"/>
          <w:rFonts w:ascii="Times New Roman" w:hAnsi="Times New Roman"/>
          <w:b w:val="0"/>
          <w:i w:val="0"/>
          <w:sz w:val="24"/>
        </w:rPr>
        <w:t>Targeted sample of 200 content items across four platforms; final audited analytical sample of 197 items after three unverifiable TikTok records were excluded.</w:t>
      </w:r>
    </w:p>
    <w:p>
      <w:pPr>
        <w:spacing w:before="0" w:after="40" w:line="360" w:lineRule="auto"/>
        <w:ind w:left="720"/>
        <w:jc w:val="both"/>
      </w:pPr>
      <w:r>
        <w:rPr>
          <w:rFonts w:ascii="Times New Roman" w:hAnsi="Times New Roman" w:cs="Times New Roman"/>
          <w:rFonts w:ascii="Times New Roman" w:hAnsi="Times New Roman"/>
          <w:b/>
          <w:i w:val="0"/>
          <w:sz w:val="24"/>
        </w:rPr>
        <w:t xml:space="preserve">• Phenomenon of Interest: </w:t>
      </w:r>
      <w:r>
        <w:rPr>
          <w:rFonts w:ascii="Times New Roman" w:hAnsi="Times New Roman" w:cs="Times New Roman"/>
          <w:rFonts w:ascii="Times New Roman" w:hAnsi="Times New Roman"/>
          <w:b w:val="0"/>
          <w:i w:val="0"/>
          <w:sz w:val="24"/>
        </w:rPr>
        <w:t>Quality of physical activity information.</w:t>
      </w:r>
    </w:p>
    <w:p>
      <w:pPr>
        <w:spacing w:before="0" w:after="40" w:line="360" w:lineRule="auto"/>
        <w:ind w:left="720"/>
        <w:jc w:val="both"/>
      </w:pPr>
      <w:r>
        <w:rPr>
          <w:rFonts w:ascii="Times New Roman" w:hAnsi="Times New Roman" w:cs="Times New Roman"/>
          <w:rFonts w:ascii="Times New Roman" w:hAnsi="Times New Roman"/>
          <w:b/>
          <w:i w:val="0"/>
          <w:sz w:val="24"/>
        </w:rPr>
        <w:t xml:space="preserve">• Design: </w:t>
      </w:r>
      <w:r>
        <w:rPr>
          <w:rFonts w:ascii="Times New Roman" w:hAnsi="Times New Roman" w:cs="Times New Roman"/>
          <w:rFonts w:ascii="Times New Roman" w:hAnsi="Times New Roman"/>
          <w:b w:val="0"/>
          <w:i w:val="0"/>
          <w:sz w:val="24"/>
        </w:rPr>
        <w:t>Cross-sectional content analysis.</w:t>
      </w:r>
    </w:p>
    <w:p>
      <w:pPr>
        <w:spacing w:before="0" w:after="40" w:line="360" w:lineRule="auto"/>
        <w:ind w:left="720"/>
        <w:jc w:val="both"/>
      </w:pPr>
      <w:r>
        <w:rPr>
          <w:rFonts w:ascii="Times New Roman" w:hAnsi="Times New Roman" w:cs="Times New Roman"/>
          <w:rFonts w:ascii="Times New Roman" w:hAnsi="Times New Roman"/>
          <w:b/>
          <w:i w:val="0"/>
          <w:sz w:val="24"/>
        </w:rPr>
        <w:t xml:space="preserve">• Evaluation: </w:t>
      </w:r>
      <w:r>
        <w:rPr>
          <w:rFonts w:ascii="Times New Roman" w:hAnsi="Times New Roman" w:cs="Times New Roman"/>
          <w:rFonts w:ascii="Times New Roman" w:hAnsi="Times New Roman"/>
          <w:b w:val="0"/>
          <w:i w:val="0"/>
          <w:sz w:val="24"/>
        </w:rPr>
        <w:t>DISCERN instrument and JAMA benchmarks.</w:t>
      </w:r>
    </w:p>
    <w:p>
      <w:pPr>
        <w:spacing w:before="0" w:after="40" w:line="360" w:lineRule="auto"/>
        <w:ind w:left="720"/>
        <w:jc w:val="both"/>
      </w:pPr>
      <w:r>
        <w:rPr>
          <w:rFonts w:ascii="Times New Roman" w:hAnsi="Times New Roman" w:cs="Times New Roman"/>
          <w:rFonts w:ascii="Times New Roman" w:hAnsi="Times New Roman"/>
          <w:b/>
          <w:i w:val="0"/>
          <w:sz w:val="24"/>
        </w:rPr>
        <w:t xml:space="preserve">• Research type: </w:t>
      </w:r>
      <w:r>
        <w:rPr>
          <w:rFonts w:ascii="Times New Roman" w:hAnsi="Times New Roman" w:cs="Times New Roman"/>
          <w:rFonts w:ascii="Times New Roman" w:hAnsi="Times New Roman"/>
          <w:b w:val="0"/>
          <w:i w:val="0"/>
          <w:sz w:val="24"/>
        </w:rPr>
        <w:t>Quantitative.</w:t>
      </w:r>
    </w:p>
    <w:p>
      <w:pPr>
        <w:spacing w:before="0" w:after="120" w:line="360" w:lineRule="auto"/>
        <w:ind w:firstLine="720"/>
        <w:jc w:val="both"/>
      </w:pPr>
      <w:r>
        <w:rPr>
          <w:rFonts w:ascii="Times New Roman" w:hAnsi="Times New Roman" w:cs="Times New Roman"/>
          <w:rFonts w:ascii="Times New Roman" w:hAnsi="Times New Roman"/>
          <w:b w:val="0"/>
          <w:i w:val="0"/>
          <w:sz w:val="24"/>
        </w:rPr>
        <w:t>The rationale for employing a cross-sectional content analysis rather than a systematic review lies in the current state of the literature. Recent systematic reviews and meta-analyses have already synthesised major strands of evidence on health information quality across websites, social media, and short-form video content (Daraz et al., 2019; Li et al., 2024; Liu et al., 2025). However, no study to date has conducted a direct, head-to-head comparison of physical activity information quality across traditional websites, YouTube, TikTok, and Instagram using both the DISCERN and JAMA instruments simultaneously. The present study addresses this gap by providing a four-platform comparative analysis using dual quality assessment frameworks applied specifically to physical activity content.</w:t>
      </w:r>
    </w:p>
    <w:p>
      <w:pPr>
        <w:pStyle w:val="Heading2"/>
        <w:spacing w:before="240" w:after="120" w:line="360" w:lineRule="auto"/>
        <w:jc w:val="left"/>
      </w:pPr>
      <w:r>
        <w:rPr>
          <w:rFonts w:ascii="Times New Roman" w:hAnsi="Times New Roman" w:cs="Times New Roman"/>
          <w:rFonts w:ascii="Times New Roman" w:hAnsi="Times New Roman"/>
          <w:b/>
          <w:i w:val="0"/>
          <w:sz w:val="24"/>
        </w:rPr>
        <w:t>2.3 Nature of Research</w:t>
      </w:r>
    </w:p>
    <w:p>
      <w:pPr>
        <w:spacing w:before="0" w:after="120" w:line="360" w:lineRule="auto"/>
        <w:ind w:firstLine="720"/>
        <w:jc w:val="both"/>
      </w:pPr>
      <w:r>
        <w:rPr>
          <w:rFonts w:ascii="Times New Roman" w:hAnsi="Times New Roman" w:cs="Times New Roman"/>
          <w:rFonts w:ascii="Times New Roman" w:hAnsi="Times New Roman"/>
          <w:b w:val="0"/>
          <w:i w:val="0"/>
          <w:sz w:val="24"/>
        </w:rPr>
        <w:t>The present study is quantitative in nature, employing numerical scoring instruments to assess information quality and statistical methods to analyse the resulting data. The research is both descriptive and comparative: descriptive in that it characterises the quality of physical activity information across platforms using standardised metrics, and comparative in that it systematically examines differences in quality scores between platform types, creator categories, and content formats.</w:t>
      </w:r>
    </w:p>
    <w:p>
      <w:pPr>
        <w:spacing w:before="0" w:after="120" w:line="360" w:lineRule="auto"/>
        <w:ind w:firstLine="720"/>
        <w:jc w:val="both"/>
      </w:pPr>
      <w:r>
        <w:rPr>
          <w:rFonts w:ascii="Times New Roman" w:hAnsi="Times New Roman" w:cs="Times New Roman"/>
          <w:rFonts w:ascii="Times New Roman" w:hAnsi="Times New Roman"/>
          <w:b w:val="0"/>
          <w:i w:val="0"/>
          <w:sz w:val="24"/>
        </w:rPr>
        <w:t>Furthermore, this study represents applied research with practical implications for multiple stakeholders. The findings are intended to inform health literacy initiatives, guide content regulation policies on social media platforms, assist healthcare professionals in directing patients toward reliable information sources, and contribute to the broader understanding of digital health information ecosystems. The applied orientation aligns with the growing recognition that the quality of online health information has direct consequences for public health behaviours and outcomes (Swire-Thompson &amp; Lazer, 2020).</w:t>
      </w:r>
    </w:p>
    <w:p>
      <w:pPr>
        <w:pStyle w:val="Heading2"/>
        <w:spacing w:before="240" w:after="120" w:line="360" w:lineRule="auto"/>
        <w:jc w:val="left"/>
      </w:pPr>
      <w:r>
        <w:rPr>
          <w:rFonts w:ascii="Times New Roman" w:hAnsi="Times New Roman" w:cs="Times New Roman"/>
          <w:rFonts w:ascii="Times New Roman" w:hAnsi="Times New Roman"/>
          <w:b/>
          <w:i w:val="0"/>
          <w:sz w:val="24"/>
        </w:rPr>
        <w:t>2.4 Study Sample and Sampling Frame</w:t>
      </w:r>
    </w:p>
    <w:p>
      <w:pPr>
        <w:spacing w:before="0" w:after="120" w:line="360" w:lineRule="auto"/>
        <w:ind w:firstLine="720"/>
        <w:jc w:val="both"/>
      </w:pPr>
      <w:r>
        <w:rPr>
          <w:rFonts w:ascii="Times New Roman" w:hAnsi="Times New Roman" w:cs="Times New Roman"/>
          <w:rFonts w:ascii="Times New Roman" w:hAnsi="Times New Roman"/>
          <w:b w:val="0"/>
          <w:i w:val="0"/>
          <w:sz w:val="24"/>
        </w:rPr>
        <w:t>The sampling design targeted 200 content items from four digital platforms: traditional websites accessed through Google search (target n = 50), YouTube (target n = 50), TikTok (target n = 50), and Instagram (target n = 50). This target sample size was determined based on precedent in health information quality research, where samples of 40–60 items per platform have been established as sufficient for detecting meaningful quality differences (Leong et al., 2021; Drozd et al., 2018). Following the post-collection audit, three TikTok records could not be verified against the raw captures and were excluded without replacement, yielding a final analytical sample of 197 items (50 websites, 50 YouTube videos, 47 TikTok videos, and 50 Instagram posts).</w:t>
      </w:r>
    </w:p>
    <w:p>
      <w:pPr>
        <w:spacing w:before="0" w:after="120" w:line="360" w:lineRule="auto"/>
        <w:ind w:firstLine="720"/>
        <w:jc w:val="both"/>
      </w:pPr>
      <w:r>
        <w:rPr>
          <w:rFonts w:ascii="Times New Roman" w:hAnsi="Times New Roman" w:cs="Times New Roman"/>
          <w:rFonts w:ascii="Times New Roman" w:hAnsi="Times New Roman"/>
          <w:b w:val="0"/>
          <w:i w:val="0"/>
          <w:sz w:val="24"/>
        </w:rPr>
        <w:t>Verification required a raw screenshot or captured record showing the content identifier or URL together with the metadata fields used in analysis (for example, platform, creator, date, content format, or engagement counts). Records that could not be matched to this audit evidence were removed from the final audited dataset.</w:t>
      </w:r>
    </w:p>
    <w:p>
      <w:pPr>
        <w:spacing w:before="0" w:after="120" w:line="360" w:lineRule="auto"/>
        <w:ind w:firstLine="720"/>
        <w:jc w:val="both"/>
      </w:pPr>
      <w:r>
        <w:rPr>
          <w:rFonts w:ascii="Times New Roman" w:hAnsi="Times New Roman" w:cs="Times New Roman"/>
          <w:rFonts w:ascii="Times New Roman" w:hAnsi="Times New Roman"/>
          <w:b w:val="0"/>
          <w:i w:val="0"/>
          <w:sz w:val="24"/>
        </w:rPr>
        <w:t>Content was retrieved using five standardised search terms designed to simulate typical user queries related to physical activity:</w:t>
      </w:r>
    </w:p>
    <w:p>
      <w:pPr>
        <w:spacing w:before="0" w:after="40" w:line="360" w:lineRule="auto"/>
        <w:ind w:left="720"/>
        <w:jc w:val="left"/>
      </w:pPr>
      <w:r>
        <w:rPr>
          <w:rFonts w:ascii="Times New Roman" w:hAnsi="Times New Roman" w:cs="Times New Roman"/>
          <w:rFonts w:ascii="Times New Roman" w:hAnsi="Times New Roman"/>
          <w:b w:val="0"/>
          <w:i w:val="0"/>
          <w:sz w:val="24"/>
        </w:rPr>
        <w:t>• “How to start exercising”</w:t>
      </w:r>
    </w:p>
    <w:p>
      <w:pPr>
        <w:spacing w:before="0" w:after="40" w:line="360" w:lineRule="auto"/>
        <w:ind w:left="720"/>
        <w:jc w:val="left"/>
      </w:pPr>
      <w:r>
        <w:rPr>
          <w:rFonts w:ascii="Times New Roman" w:hAnsi="Times New Roman" w:cs="Times New Roman"/>
          <w:rFonts w:ascii="Times New Roman" w:hAnsi="Times New Roman"/>
          <w:b w:val="0"/>
          <w:i w:val="0"/>
          <w:sz w:val="24"/>
        </w:rPr>
        <w:t>• “Best exercises to lose weight”</w:t>
      </w:r>
    </w:p>
    <w:p>
      <w:pPr>
        <w:spacing w:before="0" w:after="40" w:line="360" w:lineRule="auto"/>
        <w:ind w:left="720"/>
        <w:jc w:val="left"/>
      </w:pPr>
      <w:r>
        <w:rPr>
          <w:rFonts w:ascii="Times New Roman" w:hAnsi="Times New Roman" w:cs="Times New Roman"/>
          <w:rFonts w:ascii="Times New Roman" w:hAnsi="Times New Roman"/>
          <w:b w:val="0"/>
          <w:i w:val="0"/>
          <w:sz w:val="24"/>
        </w:rPr>
        <w:t>• “Strength training for beginners”</w:t>
      </w:r>
    </w:p>
    <w:p>
      <w:pPr>
        <w:spacing w:before="0" w:after="40" w:line="360" w:lineRule="auto"/>
        <w:ind w:left="720"/>
        <w:jc w:val="left"/>
      </w:pPr>
      <w:r>
        <w:rPr>
          <w:rFonts w:ascii="Times New Roman" w:hAnsi="Times New Roman" w:cs="Times New Roman"/>
          <w:rFonts w:ascii="Times New Roman" w:hAnsi="Times New Roman"/>
          <w:b w:val="0"/>
          <w:i w:val="0"/>
          <w:sz w:val="24"/>
        </w:rPr>
        <w:t>• “Physical activity guidelines”</w:t>
      </w:r>
    </w:p>
    <w:p>
      <w:pPr>
        <w:spacing w:before="0" w:after="40" w:line="360" w:lineRule="auto"/>
        <w:ind w:left="720"/>
        <w:jc w:val="left"/>
      </w:pPr>
      <w:r>
        <w:rPr>
          <w:rFonts w:ascii="Times New Roman" w:hAnsi="Times New Roman" w:cs="Times New Roman"/>
          <w:rFonts w:ascii="Times New Roman" w:hAnsi="Times New Roman"/>
          <w:b w:val="0"/>
          <w:i w:val="0"/>
          <w:sz w:val="24"/>
        </w:rPr>
        <w:t>• “Home workout routine”</w:t>
      </w:r>
    </w:p>
    <w:p>
      <w:pPr>
        <w:spacing w:before="0" w:after="120" w:line="360" w:lineRule="auto"/>
        <w:ind w:firstLine="720"/>
        <w:jc w:val="both"/>
      </w:pPr>
      <w:r>
        <w:rPr>
          <w:rFonts w:ascii="Times New Roman" w:hAnsi="Times New Roman" w:cs="Times New Roman"/>
          <w:rFonts w:ascii="Times New Roman" w:hAnsi="Times New Roman"/>
          <w:b w:val="0"/>
          <w:i w:val="0"/>
          <w:sz w:val="24"/>
        </w:rPr>
        <w:t>These search terms were selected to represent a range of common physical activity information-seeking behaviours, from general exercise initiation to specific activity modalities. For each search term, the first 10 results were targeted from each platform, yielding a planned collection frame of 10 results × 5 search terms × 4 platforms = 200 items. The sampling strategy employed convenience sampling of top-ranked search results, which approximates the actual information-seeking behaviour of typical users who predominantly access the first page or highest-ranked results (Pan et al., 2007). After the audit exclusions described above, the final analytical sample comprised 197 items.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Inclusion criteria. </w:t>
      </w:r>
      <w:r>
        <w:rPr>
          <w:rFonts w:ascii="Times New Roman" w:hAnsi="Times New Roman" w:cs="Times New Roman"/>
          <w:rFonts w:ascii="Times New Roman" w:hAnsi="Times New Roman"/>
          <w:b w:val="0"/>
          <w:i w:val="0"/>
          <w:sz w:val="24"/>
        </w:rPr>
        <w:t>Content items were included if they met all of the following criteria: (a) written or presented in English, (b) publicly accessible without account registration or payment, (c) containing substantive physical activity information (i.e., providing guidance, instructions, or educational content about exercise or physical activity), and (d) posted or last updated within the three years preceding data collection (i.e., from February 2023 onward).</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Exclusion criteria. </w:t>
      </w:r>
      <w:r>
        <w:rPr>
          <w:rFonts w:ascii="Times New Roman" w:hAnsi="Times New Roman" w:cs="Times New Roman"/>
          <w:rFonts w:ascii="Times New Roman" w:hAnsi="Times New Roman"/>
          <w:b w:val="0"/>
          <w:i w:val="0"/>
          <w:sz w:val="24"/>
        </w:rPr>
        <w:t>Content items were excluded if they met any of the following criteria: (a) duplicate content appearing across multiple platforms, (b) content behind a paywall or requiring subscription access, (c) content not primarily focused on physical activity (e.g., product-only advertisements, unrelated entertainment), or (d) content in languages other than English. During initial collection, excluded search results were replaced by the next sequential organic result from the same search to preserve the planned sampling frame. During the later audit, three TikTok records lacked verifiable raw-source support and were therefore removed without replacement.</w:t>
      </w:r>
    </w:p>
    <w:p>
      <w:pPr>
        <w:spacing w:before="0" w:after="120" w:line="360" w:lineRule="auto"/>
        <w:ind w:firstLine="720"/>
        <w:jc w:val="both"/>
      </w:pPr>
      <w:r>
        <w:rPr>
          <w:rFonts w:ascii="Times New Roman" w:hAnsi="Times New Roman" w:cs="Times New Roman"/>
          <w:rFonts w:ascii="Times New Roman" w:hAnsi="Times New Roman"/>
          <w:b w:val="0"/>
          <w:i w:val="0"/>
          <w:sz w:val="24"/>
        </w:rPr>
        <w:t>Accordingly, Table 2.1 should be interpreted as the planned sampling matrix rather than the final audited analytical distribution. All inferential analyses reported in Chapters 3–4, the concluding sections, and the appendices are based on the final audited dataset of 197 items.</w:t>
      </w:r>
    </w:p>
    <w:p>
      <w:pPr>
        <w:spacing w:before="0" w:after="120" w:line="360" w:lineRule="auto"/>
        <w:ind w:firstLine="720"/>
        <w:jc w:val="both"/>
      </w:pPr>
      <w:r>
        <w:rPr>
          <w:rFonts w:ascii="Times New Roman" w:hAnsi="Times New Roman" w:cs="Times New Roman"/>
          <w:rFonts w:ascii="Times New Roman" w:hAnsi="Times New Roman"/>
          <w:b w:val="0"/>
          <w:i w:val="0"/>
          <w:sz w:val="24"/>
        </w:rPr>
        <w:t>Table 2.1 presents the sampling matrix illustrating the distribution of content items across search terms and platforms.</w:t>
      </w:r>
    </w:p>
    <w:p>
      <w:pPr>
        <w:spacing w:before="240" w:after="0" w:line="360" w:lineRule="auto"/>
        <w:jc w:val="left"/>
      </w:pPr>
      <w:r>
        <w:rPr>
          <w:rFonts w:ascii="Times New Roman" w:hAnsi="Times New Roman" w:cs="Times New Roman"/>
          <w:rFonts w:ascii="Times New Roman" w:hAnsi="Times New Roman"/>
          <w:b/>
          <w:i w:val="0"/>
          <w:sz w:val="24"/>
        </w:rPr>
        <w:t>Table 2.1</w:t>
      </w:r>
    </w:p>
    <w:p>
      <w:pPr>
        <w:spacing w:before="0" w:after="120" w:line="360" w:lineRule="auto"/>
        <w:jc w:val="left"/>
      </w:pPr>
      <w:r>
        <w:rPr>
          <w:rFonts w:ascii="Times New Roman" w:hAnsi="Times New Roman" w:cs="Times New Roman"/>
          <w:rFonts w:ascii="Times New Roman" w:hAnsi="Times New Roman"/>
          <w:b w:val="0"/>
          <w:i/>
          <w:sz w:val="24"/>
        </w:rPr>
        <w:t>Planned Sampling Matrix: Target Distribution of Content Items by Search Term and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3118"/>
            <w:shd w:fill="D9E2F3"/>
          </w:tcPr>
          <w:p>
            <w:pPr>
              <w:spacing w:before="20" w:after="20" w:line="276" w:lineRule="auto"/>
              <w:jc w:val="center"/>
            </w:pPr>
            <w:r/>
            <w:r>
              <w:rPr>
                <w:rFonts w:ascii="Times New Roman" w:hAnsi="Times New Roman" w:cs="Times New Roman"/>
                <w:rFonts w:ascii="Times New Roman" w:hAnsi="Times New Roman"/>
                <w:b/>
                <w:i w:val="0"/>
                <w:sz w:val="20"/>
              </w:rPr>
              <w:t>Search Term</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Google</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YouTube</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TikTok</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Instagram</w:t>
              <w:br/>
              <w:t>(n)</w:t>
            </w:r>
          </w:p>
        </w:tc>
        <w:tc>
          <w:tcPr>
            <w:tcW w:type="dxa" w:w="1247"/>
            <w:shd w:fill="D9E2F3"/>
          </w:tcPr>
          <w:p>
            <w:pPr>
              <w:spacing w:before="20" w:after="20" w:line="276" w:lineRule="auto"/>
              <w:jc w:val="center"/>
            </w:pPr>
            <w:r/>
            <w:r>
              <w:rPr>
                <w:rFonts w:ascii="Times New Roman" w:hAnsi="Times New Roman" w:cs="Times New Roman"/>
                <w:rFonts w:ascii="Times New Roman" w:hAnsi="Times New Roman"/>
                <w:b/>
                <w:i w:val="0"/>
                <w:sz w:val="20"/>
              </w:rPr>
              <w:t>Total</w:t>
              <w:br/>
              <w:t>(N)</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How to start exercising</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Best exercises to lose weight</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Strength training for beginners</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Physical activity guidelines</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Home workout routine</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10</w:t>
            </w:r>
          </w:p>
        </w:tc>
        <w:tc>
          <w:tcPr>
            <w:tcW w:type="dxa" w:w="1247"/>
          </w:tcPr>
          <w:p>
            <w:pPr>
              <w:spacing w:before="20" w:after="20" w:line="276" w:lineRule="auto"/>
              <w:jc w:val="center"/>
            </w:pPr>
            <w:r/>
            <w:r>
              <w:rPr>
                <w:rFonts w:ascii="Times New Roman" w:hAnsi="Times New Roman" w:cs="Times New Roman"/>
                <w:rFonts w:ascii="Times New Roman" w:hAnsi="Times New Roman"/>
                <w:b w:val="0"/>
                <w:i w:val="0"/>
                <w:sz w:val="20"/>
              </w:rPr>
              <w:t>40</w:t>
            </w:r>
          </w:p>
        </w:tc>
      </w:tr>
      <w:tr>
        <w:tc>
          <w:tcPr>
            <w:tcW w:type="dxa" w:w="3118"/>
            <w:shd w:fill="E2EFDA"/>
          </w:tcPr>
          <w:p>
            <w:pPr>
              <w:spacing w:before="20" w:after="20" w:line="276" w:lineRule="auto"/>
              <w:jc w:val="left"/>
            </w:pPr>
            <w:r/>
            <w:r>
              <w:rPr>
                <w:rFonts w:ascii="Times New Roman" w:hAnsi="Times New Roman" w:cs="Times New Roman"/>
                <w:rFonts w:ascii="Times New Roman" w:hAnsi="Times New Roman"/>
                <w:b/>
                <w:i w:val="0"/>
                <w:sz w:val="20"/>
              </w:rPr>
              <w:t>Total</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50</w:t>
            </w:r>
          </w:p>
        </w:tc>
        <w:tc>
          <w:tcPr>
            <w:tcW w:type="dxa" w:w="1247"/>
            <w:shd w:fill="E2EFDA"/>
          </w:tcPr>
          <w:p>
            <w:pPr>
              <w:spacing w:before="20" w:after="20" w:line="276" w:lineRule="auto"/>
              <w:jc w:val="center"/>
            </w:pPr>
            <w:r/>
            <w:r>
              <w:rPr>
                <w:rFonts w:ascii="Times New Roman" w:hAnsi="Times New Roman" w:cs="Times New Roman"/>
                <w:rFonts w:ascii="Times New Roman" w:hAnsi="Times New Roman"/>
                <w:b/>
                <w:i w:val="0"/>
                <w:sz w:val="20"/>
              </w:rPr>
              <w:t>200</w:t>
            </w: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Each cell represents the targeted number of content items per search term per platform. Planned collection frame N = 200; final audited analytical sample N = 197 after three TikTok exclusions.</w:t>
      </w:r>
    </w:p>
    <w:p>
      <w:pPr>
        <w:pStyle w:val="Heading2"/>
        <w:spacing w:before="240" w:after="120" w:line="360" w:lineRule="auto"/>
        <w:jc w:val="left"/>
      </w:pPr>
      <w:r>
        <w:rPr>
          <w:rFonts w:ascii="Times New Roman" w:hAnsi="Times New Roman" w:cs="Times New Roman"/>
          <w:rFonts w:ascii="Times New Roman" w:hAnsi="Times New Roman"/>
          <w:b/>
          <w:i w:val="0"/>
          <w:sz w:val="24"/>
        </w:rPr>
        <w:t>2.5 Research Methods</w:t>
      </w:r>
    </w:p>
    <w:p>
      <w:pPr>
        <w:pStyle w:val="Heading3"/>
        <w:spacing w:before="160" w:after="120" w:line="360" w:lineRule="auto"/>
        <w:jc w:val="left"/>
      </w:pPr>
      <w:r>
        <w:rPr>
          <w:rFonts w:ascii="Times New Roman" w:hAnsi="Times New Roman" w:cs="Times New Roman"/>
          <w:rFonts w:ascii="Times New Roman" w:hAnsi="Times New Roman"/>
          <w:b/>
          <w:i w:val="0"/>
          <w:sz w:val="24"/>
        </w:rPr>
        <w:t>2.5.1 Data Collection Procedures</w:t>
      </w:r>
    </w:p>
    <w:p>
      <w:pPr>
        <w:spacing w:before="0" w:after="120" w:line="360" w:lineRule="auto"/>
        <w:ind w:firstLine="720"/>
        <w:jc w:val="both"/>
      </w:pPr>
      <w:r>
        <w:rPr>
          <w:rFonts w:ascii="Times New Roman" w:hAnsi="Times New Roman" w:cs="Times New Roman"/>
          <w:rFonts w:ascii="Times New Roman" w:hAnsi="Times New Roman"/>
          <w:b w:val="0"/>
          <w:i w:val="0"/>
          <w:sz w:val="24"/>
        </w:rPr>
        <w:t>Data collection was conducted over a two-day window (1–2 March 2026) using a systematic protocol designed to reduce avoidable sources of algorithmic bias and improve reproducibility. All searches were performed in logged-out, incognito (private) browsing mode in Google Chrome to reduce the influence of browsing history, cookies, and account-based recommendations on result rankings (Tripodi, 2018). Nonetheless, search results may still vary because of location/IP-based and other forms of platform personalisation. The browser’s language was set to English (United States) and geolocation was configured to Kaunas, Lithuania, the researcher’s institutional location, to standardise the search environment across all platforms. No VPN was used.</w:t>
      </w:r>
    </w:p>
    <w:p>
      <w:pPr>
        <w:spacing w:before="0" w:after="120" w:line="360" w:lineRule="auto"/>
        <w:ind w:firstLine="720"/>
        <w:jc w:val="both"/>
      </w:pPr>
      <w:r>
        <w:rPr>
          <w:rFonts w:ascii="Times New Roman" w:hAnsi="Times New Roman" w:cs="Times New Roman"/>
          <w:rFonts w:ascii="Times New Roman" w:hAnsi="Times New Roman"/>
          <w:b w:val="0"/>
          <w:i w:val="0"/>
          <w:sz w:val="24"/>
        </w:rPr>
        <w:t>For traditional websites, searches were conducted on Google (google.com) using the default ‘All’ results tab; sponsored results and advertisements were excluded. For YouTube, searches were conducted on youtube.com using the default ‘Relevance’ sort. For both platforms, an automated data collection approach was employed using Playwright, an open-source browser automation framework. The automated scripts navigated to each platform, entered the standardised search terms, and systematically recorded the top 10 organic results for each query. This approach ensured consistency in result capture and reduced human error in the recording of search rankings, URLs, and metadata. For TikTok and Instagram, manual data collection was conducted due to these platforms’ implementation of anti-bot measures that prevent reliable browser automation. TikTok searches used the in-app ‘Top’ tab; Instagram searches used the ‘Tags’ and ‘Top’ tabs. The primary researcher manually searched each term within the platform’s native search function, recording the first 10 relevant results in order of appearance. For TikTok and Instagram, this order of appearance was treated as an operational proxy for ranking position rather than a guaranteed ordinal rank list. Reposts, advertisements, pinned/promoted content, and duplicate items from the same creator for the same search term were excluded and replaced by the next sequential organic result during the initial collection stage.</w:t>
      </w:r>
    </w:p>
    <w:p>
      <w:pPr>
        <w:spacing w:before="0" w:after="120" w:line="360" w:lineRule="auto"/>
        <w:ind w:firstLine="720"/>
        <w:jc w:val="both"/>
      </w:pPr>
      <w:r>
        <w:rPr>
          <w:rFonts w:ascii="Times New Roman" w:hAnsi="Times New Roman" w:cs="Times New Roman"/>
          <w:rFonts w:ascii="Times New Roman" w:hAnsi="Times New Roman"/>
          <w:b w:val="0"/>
          <w:i w:val="0"/>
          <w:sz w:val="24"/>
        </w:rPr>
        <w:t>All search results were recorded in their order of appearance within the search ranking. For each content item, the following information was documented: platform, search term used, ranking position, URL or content identifier, creator name, creator type classification, content format, date of publication or last update, and engagement metrics (views, likes, shares, and comments where available). Screenshots were captured for each content item to establish an audit trail, supporting the verification and reliability of the assessment process.</w:t>
      </w:r>
    </w:p>
    <w:p>
      <w:pPr>
        <w:pStyle w:val="Heading3"/>
        <w:spacing w:before="160" w:after="120" w:line="360" w:lineRule="auto"/>
        <w:jc w:val="left"/>
      </w:pPr>
      <w:r>
        <w:rPr>
          <w:rFonts w:ascii="Times New Roman" w:hAnsi="Times New Roman" w:cs="Times New Roman"/>
          <w:rFonts w:ascii="Times New Roman" w:hAnsi="Times New Roman"/>
          <w:b/>
          <w:i w:val="0"/>
          <w:sz w:val="24"/>
        </w:rPr>
        <w:t>2.5.2 Quality Assessment Instruments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DISCERN Instrument. </w:t>
      </w:r>
      <w:r>
        <w:rPr>
          <w:rFonts w:ascii="Times New Roman" w:hAnsi="Times New Roman" w:cs="Times New Roman"/>
          <w:rFonts w:ascii="Times New Roman" w:hAnsi="Times New Roman"/>
          <w:b w:val="0"/>
          <w:i w:val="0"/>
          <w:sz w:val="24"/>
        </w:rPr>
        <w:t>The DISCERN instrument (Charnock et al., 1999) is a validated and widely used tool for assessing the quality of written consumer health information. The instrument comprises 16 items, each scored on a Likert-type scale ranging from 1 (definite no) to 5 (definite yes). The instrument is divided into three sections: Section 1 (Questions 1–8) evaluates the reliability of the publication, addressing whether the content has clear aims, achieves those aims, is relevant, identifies its sources, is balanced, and provides sufficient detail for decision-making. Section 2 (Questions 9–15) assesses the quality of information about treatment choices, including descriptions of how treatments work, their benefits, risks, effects on quality of life, and what would happen without treatment. Section 3 comprises a single item (Question 16) providing an overall quality rating. Total scores range from 16 to 80.</w:t>
      </w:r>
    </w:p>
    <w:p>
      <w:pPr>
        <w:spacing w:before="0" w:after="120" w:line="360" w:lineRule="auto"/>
        <w:ind w:firstLine="720"/>
        <w:jc w:val="both"/>
      </w:pPr>
      <w:r>
        <w:rPr>
          <w:rFonts w:ascii="Times New Roman" w:hAnsi="Times New Roman" w:cs="Times New Roman"/>
          <w:rFonts w:ascii="Times New Roman" w:hAnsi="Times New Roman"/>
          <w:b w:val="0"/>
          <w:i w:val="0"/>
          <w:sz w:val="24"/>
        </w:rPr>
        <w:t>For the purposes of the present study, DISCERN quality scores were categorised using the following established thresholds: Very Poor (16–26), Poor (27–38), Fair (39–50), Good (51–62), and Excellent (63–80). These conventional categories facilitate meaningful interpretation and cross-study comparison of quality ratings (Sun et al., 2023). In adapting the instrument for social media content, questions pertaining to treatment information were interpreted in the context of exercise and physical activity recommendations, consistent with the approach adopted in prior studies examining fitness-related content (Kocyigit et al., 2019; Kong et al., 2021).</w:t>
      </w:r>
    </w:p>
    <w:p>
      <w:pPr>
        <w:spacing w:before="0" w:after="120" w:line="360" w:lineRule="auto"/>
        <w:ind w:firstLine="720"/>
        <w:jc w:val="both"/>
      </w:pPr>
      <w:r>
        <w:rPr>
          <w:rFonts w:ascii="Times New Roman" w:hAnsi="Times New Roman" w:cs="Times New Roman"/>
          <w:rFonts w:ascii="Times New Roman" w:hAnsi="Times New Roman"/>
          <w:b w:val="0"/>
          <w:i w:val="0"/>
          <w:sz w:val="24"/>
        </w:rPr>
        <w:t>Scoring was restricted to information visible to a typical user at the point of access. For websites, raters assessed the full article text and any immediately visible source, date, and authorship information. For YouTube and TikTok, raters were permitted to use the video content itself, spoken narration, on-screen text, title, caption/description, pinned comments where present, and creator profile bio. For Instagram, raters used all visible carousel text or image text, the caption, pinned comments where present, and profile bio. No score was awarded on the basis of inferred but unstated evidence or credentials; if a risk, source, or qualification was implied but not explicitly visible, the conservative lower score was retained.</w:t>
      </w:r>
    </w:p>
    <w:p>
      <w:pPr>
        <w:spacing w:before="0" w:after="120" w:line="360" w:lineRule="auto"/>
        <w:ind w:firstLine="720"/>
        <w:jc w:val="both"/>
      </w:pPr>
      <w:r>
        <w:rPr>
          <w:rFonts w:ascii="Times New Roman" w:hAnsi="Times New Roman" w:cs="Times New Roman"/>
          <w:rFonts w:ascii="Times New Roman" w:hAnsi="Times New Roman"/>
          <w:b w:val="0"/>
          <w:i w:val="0"/>
          <w:sz w:val="24"/>
        </w:rPr>
        <w:t>Table 2.2 presents the complete DISCERN instrument with all 16 assessment questions.</w:t>
      </w:r>
    </w:p>
    <w:p>
      <w:pPr>
        <w:spacing w:before="240" w:after="0" w:line="360" w:lineRule="auto"/>
        <w:jc w:val="left"/>
      </w:pPr>
      <w:r>
        <w:rPr>
          <w:rFonts w:ascii="Times New Roman" w:hAnsi="Times New Roman" w:cs="Times New Roman"/>
          <w:rFonts w:ascii="Times New Roman" w:hAnsi="Times New Roman"/>
          <w:b/>
          <w:i w:val="0"/>
          <w:sz w:val="24"/>
        </w:rPr>
        <w:t>Table 2.2</w:t>
      </w:r>
    </w:p>
    <w:p>
      <w:pPr>
        <w:spacing w:before="0" w:after="120" w:line="360" w:lineRule="auto"/>
        <w:jc w:val="left"/>
      </w:pPr>
      <w:r>
        <w:rPr>
          <w:rFonts w:ascii="Times New Roman" w:hAnsi="Times New Roman" w:cs="Times New Roman"/>
          <w:rFonts w:ascii="Times New Roman" w:hAnsi="Times New Roman"/>
          <w:b w:val="0"/>
          <w:i/>
          <w:sz w:val="24"/>
        </w:rPr>
        <w:t>DISCERN Instrument Assessment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850"/>
            <w:shd w:fill="D9E2F3"/>
          </w:tcPr>
          <w:p>
            <w:pPr>
              <w:spacing w:before="20" w:after="20" w:line="276" w:lineRule="auto"/>
              <w:jc w:val="center"/>
            </w:pPr>
            <w:r/>
            <w:r>
              <w:rPr>
                <w:rFonts w:ascii="Times New Roman" w:hAnsi="Times New Roman" w:cs="Times New Roman"/>
                <w:rFonts w:ascii="Times New Roman" w:hAnsi="Times New Roman"/>
                <w:b/>
                <w:i w:val="0"/>
                <w:sz w:val="20"/>
              </w:rPr>
              <w:t>Item</w:t>
            </w:r>
          </w:p>
        </w:tc>
        <w:tc>
          <w:tcPr>
            <w:tcW w:type="dxa" w:w="1984"/>
            <w:shd w:fill="D9E2F3"/>
          </w:tcPr>
          <w:p>
            <w:pPr>
              <w:spacing w:before="20" w:after="20" w:line="276" w:lineRule="auto"/>
              <w:jc w:val="center"/>
            </w:pPr>
            <w:r/>
            <w:r>
              <w:rPr>
                <w:rFonts w:ascii="Times New Roman" w:hAnsi="Times New Roman" w:cs="Times New Roman"/>
                <w:rFonts w:ascii="Times New Roman" w:hAnsi="Times New Roman"/>
                <w:b/>
                <w:i w:val="0"/>
                <w:sz w:val="20"/>
              </w:rPr>
              <w:t>Section</w:t>
            </w:r>
          </w:p>
        </w:tc>
        <w:tc>
          <w:tcPr>
            <w:tcW w:type="dxa" w:w="6236"/>
            <w:shd w:fill="D9E2F3"/>
          </w:tcPr>
          <w:p>
            <w:pPr>
              <w:spacing w:before="20" w:after="20" w:line="276" w:lineRule="auto"/>
              <w:jc w:val="center"/>
            </w:pPr>
            <w:r/>
            <w:r>
              <w:rPr>
                <w:rFonts w:ascii="Times New Roman" w:hAnsi="Times New Roman" w:cs="Times New Roman"/>
                <w:rFonts w:ascii="Times New Roman" w:hAnsi="Times New Roman"/>
                <w:b/>
                <w:i w:val="0"/>
                <w:sz w:val="20"/>
              </w:rPr>
              <w:t>Question</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Are the aims clear?</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Q2</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achieve its aims?</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Q3</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relevant?</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Q4</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clear what sources of information were used to compile the publication?</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Q5</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clear when the information used or reported in the publication was produced?</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Q6</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balanced and unbiased?</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Q7</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provide details of additional sources of support and information?</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Q8</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1: Reliability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refer to areas of uncertainty?</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Q9</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how each treatment works?</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Q10</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the benefits of each treatment?</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Q11</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the risks of each treatment?</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Q12</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what would happen if no treatment is used?</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Q13</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describe the effects of treatment choices on overall quality of life?</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Q14</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Is it clear that there may be more than one possible treatment choice?</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Q15</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2: Treatment Quality</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Does it provide support for shared decision-making?</w:t>
            </w:r>
          </w:p>
        </w:tc>
      </w:tr>
      <w:tr>
        <w:tc>
          <w:tcPr>
            <w:tcW w:type="dxa" w:w="850"/>
          </w:tcPr>
          <w:p>
            <w:pPr>
              <w:spacing w:before="20" w:after="20" w:line="276" w:lineRule="auto"/>
              <w:jc w:val="center"/>
            </w:pPr>
            <w:r/>
            <w:r>
              <w:rPr>
                <w:rFonts w:ascii="Times New Roman" w:hAnsi="Times New Roman" w:cs="Times New Roman"/>
                <w:rFonts w:ascii="Times New Roman" w:hAnsi="Times New Roman"/>
                <w:b w:val="0"/>
                <w:i w:val="0"/>
                <w:sz w:val="20"/>
              </w:rPr>
              <w:t>Q16</w:t>
            </w:r>
          </w:p>
        </w:tc>
        <w:tc>
          <w:tcPr>
            <w:tcW w:type="dxa" w:w="1984"/>
          </w:tcPr>
          <w:p>
            <w:pPr>
              <w:spacing w:before="20" w:after="20" w:line="276" w:lineRule="auto"/>
              <w:jc w:val="center"/>
            </w:pPr>
            <w:r/>
            <w:r>
              <w:rPr>
                <w:rFonts w:ascii="Times New Roman" w:hAnsi="Times New Roman" w:cs="Times New Roman"/>
                <w:rFonts w:ascii="Times New Roman" w:hAnsi="Times New Roman"/>
                <w:b w:val="0"/>
                <w:i w:val="0"/>
                <w:sz w:val="20"/>
              </w:rPr>
              <w:t>3: Overall Rating</w:t>
            </w:r>
          </w:p>
        </w:tc>
        <w:tc>
          <w:tcPr>
            <w:tcW w:type="dxa" w:w="6236"/>
          </w:tcPr>
          <w:p>
            <w:pPr>
              <w:spacing w:before="20" w:after="20" w:line="276" w:lineRule="auto"/>
              <w:jc w:val="left"/>
            </w:pPr>
            <w:r/>
            <w:r>
              <w:rPr>
                <w:rFonts w:ascii="Times New Roman" w:hAnsi="Times New Roman" w:cs="Times New Roman"/>
                <w:rFonts w:ascii="Times New Roman" w:hAnsi="Times New Roman"/>
                <w:b w:val="0"/>
                <w:i w:val="0"/>
                <w:sz w:val="20"/>
              </w:rPr>
              <w:t>Based on the answers to all of the above questions, rate the overall quality of the publication.</w:t>
            </w:r>
          </w:p>
        </w:tc>
      </w:tr>
      <w:tr>
        <w:tc>
          <w:tcPr>
            <w:tcW w:type="dxa" w:w="850"/>
          </w:tcPr>
          <w:p/>
        </w:tc>
        <w:tc>
          <w:tcPr>
            <w:tcW w:type="dxa" w:w="1984"/>
          </w:tcPr>
          <w:p/>
        </w:tc>
        <w:tc>
          <w:tcPr>
            <w:tcW w:type="dxa" w:w="6236"/>
          </w:tcP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Adapted from “DISCERN: An instrument for judging the quality of written consumer health information on treatment choices,” by D. Charnock, S. Shepperd, G. Needham, and R. Gann, 1999, Journal of Epidemiology &amp; Community Health, 53(2), 105–111. Each item is scored from 1 (definite no) to 5 (definite yes). For social media content, treatment-related questions (Q9–Q15) were interpreted as referring to exercise and physical activity recommendations.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JAMA Benchmarks. </w:t>
      </w:r>
      <w:r>
        <w:rPr>
          <w:rFonts w:ascii="Times New Roman" w:hAnsi="Times New Roman" w:cs="Times New Roman"/>
          <w:rFonts w:ascii="Times New Roman" w:hAnsi="Times New Roman"/>
          <w:b w:val="0"/>
          <w:i w:val="0"/>
          <w:sz w:val="24"/>
        </w:rPr>
        <w:t>The JAMA benchmarks (Silberg et al., 1997) provide a concise accountability framework for evaluating health information. The instrument assesses four criteria, each scored dichotomously as present (Y) or absent (N): (a) Authorship—whether authors and their credentials or affiliations are clearly identified; (b) Attribution—whether references and sources for content are cited; (c) Disclosure—whether sponsorship, advertising, conflicts of interest, or financial relationships are declared; and (d) Currency—whether the date of content creation or most recent update is provided. The total JAMA score ranges from 0 to 4, representing the number of criteria met.</w:t>
      </w:r>
    </w:p>
    <w:p>
      <w:pPr>
        <w:spacing w:before="0" w:after="120" w:line="360" w:lineRule="auto"/>
        <w:ind w:firstLine="720"/>
        <w:jc w:val="both"/>
      </w:pPr>
      <w:r>
        <w:rPr>
          <w:rFonts w:ascii="Times New Roman" w:hAnsi="Times New Roman" w:cs="Times New Roman"/>
          <w:rFonts w:ascii="Times New Roman" w:hAnsi="Times New Roman"/>
          <w:b w:val="0"/>
          <w:i w:val="0"/>
          <w:sz w:val="24"/>
        </w:rPr>
        <w:t>To apply the JAMA benchmarks to social media content, which differs substantially in format from traditional web-based health information, the criteria were operationalised as described in Table 2.3. This operationalisation draws on adaptations employed in prior research assessing social media health content (Delli et al., 2016; Kocyigit et al., 2019).</w:t>
      </w:r>
    </w:p>
    <w:p>
      <w:pPr>
        <w:spacing w:before="240" w:after="0" w:line="360" w:lineRule="auto"/>
        <w:jc w:val="left"/>
      </w:pPr>
      <w:r>
        <w:rPr>
          <w:rFonts w:ascii="Times New Roman" w:hAnsi="Times New Roman" w:cs="Times New Roman"/>
          <w:rFonts w:ascii="Times New Roman" w:hAnsi="Times New Roman"/>
          <w:b/>
          <w:i w:val="0"/>
          <w:sz w:val="24"/>
        </w:rPr>
        <w:t>Table 2.3</w:t>
      </w:r>
    </w:p>
    <w:p>
      <w:pPr>
        <w:spacing w:before="0" w:after="120" w:line="360" w:lineRule="auto"/>
        <w:jc w:val="left"/>
      </w:pPr>
      <w:r>
        <w:rPr>
          <w:rFonts w:ascii="Times New Roman" w:hAnsi="Times New Roman" w:cs="Times New Roman"/>
          <w:rFonts w:ascii="Times New Roman" w:hAnsi="Times New Roman"/>
          <w:b w:val="0"/>
          <w:i/>
          <w:sz w:val="24"/>
        </w:rPr>
        <w:t>JAMA Benchmarks Criteria and Social Media Operationalisation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1417"/>
            <w:shd w:fill="D9E2F3"/>
          </w:tcPr>
          <w:p>
            <w:pPr>
              <w:spacing w:before="20" w:after="20" w:line="276" w:lineRule="auto"/>
              <w:jc w:val="center"/>
            </w:pPr>
            <w:r/>
            <w:r>
              <w:rPr>
                <w:rFonts w:ascii="Times New Roman" w:hAnsi="Times New Roman" w:cs="Times New Roman"/>
                <w:rFonts w:ascii="Times New Roman" w:hAnsi="Times New Roman"/>
                <w:b/>
                <w:i w:val="0"/>
                <w:sz w:val="20"/>
              </w:rPr>
              <w:t>Criterion</w:t>
            </w:r>
          </w:p>
        </w:tc>
        <w:tc>
          <w:tcPr>
            <w:tcW w:type="dxa" w:w="3118"/>
            <w:shd w:fill="D9E2F3"/>
          </w:tcPr>
          <w:p>
            <w:pPr>
              <w:spacing w:before="20" w:after="20" w:line="276" w:lineRule="auto"/>
              <w:jc w:val="center"/>
            </w:pPr>
            <w:r/>
            <w:r>
              <w:rPr>
                <w:rFonts w:ascii="Times New Roman" w:hAnsi="Times New Roman" w:cs="Times New Roman"/>
                <w:rFonts w:ascii="Times New Roman" w:hAnsi="Times New Roman"/>
                <w:b/>
                <w:i w:val="0"/>
                <w:sz w:val="20"/>
              </w:rPr>
              <w:t>Original Definition</w:t>
            </w:r>
          </w:p>
        </w:tc>
        <w:tc>
          <w:tcPr>
            <w:tcW w:type="dxa" w:w="4535"/>
            <w:shd w:fill="D9E2F3"/>
          </w:tcPr>
          <w:p>
            <w:pPr>
              <w:spacing w:before="20" w:after="20" w:line="276" w:lineRule="auto"/>
              <w:jc w:val="center"/>
            </w:pPr>
            <w:r/>
            <w:r>
              <w:rPr>
                <w:rFonts w:ascii="Times New Roman" w:hAnsi="Times New Roman" w:cs="Times New Roman"/>
                <w:rFonts w:ascii="Times New Roman" w:hAnsi="Times New Roman"/>
                <w:b/>
                <w:i w:val="0"/>
                <w:sz w:val="20"/>
              </w:rPr>
              <w:t>Social Media Operationalisation</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Authorship</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Authors and credentials/affiliations identified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Creator bio states professional credentials (e.g., MD, PT, CSCS) or account is a verified professional/organisational account</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Attribution</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References and sources for content are cited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Content cites scientific studies, clinical guidelines, or other sources in video, caption, description, or on-screen text references</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Disclosure</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Sponsorship, advertising, or conflicts of interest declared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Content discloses sponsorships, partnerships, or paid promotions (e.g., #ad, #sponsored, platform-provided paid partnership label)</w:t>
            </w:r>
          </w:p>
        </w:tc>
      </w:tr>
      <w:tr>
        <w:tc>
          <w:tcPr>
            <w:tcW w:type="dxa" w:w="1417"/>
          </w:tcPr>
          <w:p>
            <w:pPr>
              <w:spacing w:before="20" w:after="20" w:line="276" w:lineRule="auto"/>
              <w:jc w:val="center"/>
            </w:pPr>
            <w:r/>
            <w:r>
              <w:rPr>
                <w:rFonts w:ascii="Times New Roman" w:hAnsi="Times New Roman" w:cs="Times New Roman"/>
                <w:rFonts w:ascii="Times New Roman" w:hAnsi="Times New Roman"/>
                <w:b/>
                <w:i w:val="0"/>
                <w:sz w:val="20"/>
              </w:rPr>
              <w:t>Currency</w:t>
            </w:r>
          </w:p>
        </w:tc>
        <w:tc>
          <w:tcPr>
            <w:tcW w:type="dxa" w:w="3118"/>
          </w:tcPr>
          <w:p>
            <w:pPr>
              <w:spacing w:before="20" w:after="20" w:line="276" w:lineRule="auto"/>
              <w:jc w:val="left"/>
            </w:pPr>
            <w:r/>
            <w:r>
              <w:rPr>
                <w:rFonts w:ascii="Times New Roman" w:hAnsi="Times New Roman" w:cs="Times New Roman"/>
                <w:rFonts w:ascii="Times New Roman" w:hAnsi="Times New Roman"/>
                <w:b w:val="0"/>
                <w:i w:val="0"/>
                <w:sz w:val="20"/>
              </w:rPr>
              <w:t>Date of content creation or update provided</w:t>
            </w:r>
          </w:p>
        </w:tc>
        <w:tc>
          <w:tcPr>
            <w:tcW w:type="dxa" w:w="4535"/>
          </w:tcPr>
          <w:p>
            <w:pPr>
              <w:spacing w:before="20" w:after="20" w:line="276" w:lineRule="auto"/>
              <w:jc w:val="left"/>
            </w:pPr>
            <w:r/>
            <w:r>
              <w:rPr>
                <w:rFonts w:ascii="Times New Roman" w:hAnsi="Times New Roman" w:cs="Times New Roman"/>
                <w:rFonts w:ascii="Times New Roman" w:hAnsi="Times New Roman"/>
                <w:b w:val="0"/>
                <w:i w:val="0"/>
                <w:sz w:val="20"/>
              </w:rPr>
              <w:t>Post or publication date is visible (inherent feature of most social media platforms; for websites, date must be explicitly displayed)</w:t>
            </w: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Adapted from “Assessing, controlling, and assuring the quality of medical information on the internet,” by W. M. Silberg, G. D. Lundberg, and R. A. Musacchio, 1997, JAMA, 277(15), 1244–1245. Each criterion is scored as present (Y) or absent (N). CSCS = Certified Strength and Conditioning Specialist; MD = Medical Doctor; PT = Physical Therapist.</w:t>
      </w:r>
    </w:p>
    <w:p>
      <w:pPr>
        <w:pStyle w:val="Heading3"/>
        <w:spacing w:before="160" w:after="120" w:line="360" w:lineRule="auto"/>
        <w:jc w:val="left"/>
      </w:pPr>
      <w:r>
        <w:rPr>
          <w:rFonts w:ascii="Times New Roman" w:hAnsi="Times New Roman" w:cs="Times New Roman"/>
          <w:rFonts w:ascii="Times New Roman" w:hAnsi="Times New Roman"/>
          <w:b/>
          <w:i w:val="0"/>
          <w:sz w:val="24"/>
        </w:rPr>
        <w:t>2.5.3 Additional Variables</w:t>
      </w:r>
    </w:p>
    <w:p>
      <w:pPr>
        <w:spacing w:before="0" w:after="120" w:line="360" w:lineRule="auto"/>
        <w:ind w:firstLine="720"/>
        <w:jc w:val="both"/>
      </w:pPr>
      <w:r>
        <w:rPr>
          <w:rFonts w:ascii="Times New Roman" w:hAnsi="Times New Roman" w:cs="Times New Roman"/>
          <w:rFonts w:ascii="Times New Roman" w:hAnsi="Times New Roman"/>
          <w:b w:val="0"/>
          <w:i w:val="0"/>
          <w:sz w:val="24"/>
        </w:rPr>
        <w:t>In addition to the primary quality assessment instruments, several supplementary variables were recorded for each content item to facilitate secondary analyses examining the moderating role of creator characteristics and content features on information quality.</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Creator type classification. </w:t>
      </w:r>
      <w:r>
        <w:rPr>
          <w:rFonts w:ascii="Times New Roman" w:hAnsi="Times New Roman" w:cs="Times New Roman"/>
          <w:rFonts w:ascii="Times New Roman" w:hAnsi="Times New Roman"/>
          <w:b w:val="0"/>
          <w:i w:val="0"/>
          <w:sz w:val="24"/>
        </w:rPr>
        <w:t>Each content creator was classified into one of five categories based on the information available in their profile, bio, and content: (a) Healthcare professional (e.g., physicians, physiotherapists, registered nurses), (b) Certified fitness professional (e.g., certified personal trainers, strength and conditioning specialists), (c) Fitness influencer (individuals with substantial followings who create fitness content without verified professional credentials), (d) General user (individuals without identifiable fitness or health credentials), and (e) Organisation (institutional accounts such as hospitals, health agencies, or fitness organisations). This classification scheme was developed based on typologies employed in prior research on health information creators (Kocyigit et al., 2019; Yurdaisik, 2022).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Engagement metrics. </w:t>
      </w:r>
      <w:r>
        <w:rPr>
          <w:rFonts w:ascii="Times New Roman" w:hAnsi="Times New Roman" w:cs="Times New Roman"/>
          <w:rFonts w:ascii="Times New Roman" w:hAnsi="Times New Roman"/>
          <w:b w:val="0"/>
          <w:i w:val="0"/>
          <w:sz w:val="24"/>
        </w:rPr>
        <w:t>Where available, the following engagement metrics were recorded at the time of data collection: total views, likes (or equivalent reactions), shares, and comments. These metrics serve as indicators of content reach and audience interaction, enabling the examination of the relationship between content popularity and information quality (Osman et al., 2022).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Content format. </w:t>
      </w:r>
      <w:r>
        <w:rPr>
          <w:rFonts w:ascii="Times New Roman" w:hAnsi="Times New Roman" w:cs="Times New Roman"/>
          <w:rFonts w:ascii="Times New Roman" w:hAnsi="Times New Roman"/>
          <w:b w:val="0"/>
          <w:i w:val="0"/>
          <w:sz w:val="24"/>
        </w:rPr>
        <w:t>Each content item was classified by format: (a) Text article (traditional websites), (b) Long-form video (&gt;5 minutes; primarily YouTube), (c) Short-form video (&lt;60 seconds; primarily TikTok and Instagram Reels), (d) Image with caption (primarily Instagram posts), and (e) Carousel (multi-image Instagram posts). This classification enables the examination of whether content format is associated with information quality.</w:t>
      </w:r>
    </w:p>
    <w:p>
      <w:pPr>
        <w:pStyle w:val="Heading2"/>
        <w:spacing w:before="240" w:after="120" w:line="360" w:lineRule="auto"/>
        <w:jc w:val="left"/>
      </w:pPr>
      <w:r>
        <w:rPr>
          <w:rFonts w:ascii="Times New Roman" w:hAnsi="Times New Roman" w:cs="Times New Roman"/>
          <w:rFonts w:ascii="Times New Roman" w:hAnsi="Times New Roman"/>
          <w:b/>
          <w:i w:val="0"/>
          <w:sz w:val="24"/>
        </w:rPr>
        <w:t>2.6 Research Organisation</w:t>
      </w:r>
    </w:p>
    <w:p>
      <w:pPr>
        <w:spacing w:before="0" w:after="120" w:line="360" w:lineRule="auto"/>
        <w:ind w:firstLine="720"/>
        <w:jc w:val="both"/>
      </w:pPr>
      <w:r>
        <w:rPr>
          <w:rFonts w:ascii="Times New Roman" w:hAnsi="Times New Roman" w:cs="Times New Roman"/>
          <w:rFonts w:ascii="Times New Roman" w:hAnsi="Times New Roman"/>
          <w:b w:val="0"/>
          <w:i w:val="0"/>
          <w:sz w:val="24"/>
        </w:rPr>
        <w:t>The study was conducted over a defined period from February to March 2026, with data collection completed within a concentrated two-day window to minimise temporal variation in search results and engagement metrics. The research process was organised into six sequential phases, as illustrated in Figure 2.1.</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1: Automated data collection (Day 1). </w:t>
      </w:r>
      <w:r>
        <w:rPr>
          <w:rFonts w:ascii="Times New Roman" w:hAnsi="Times New Roman" w:cs="Times New Roman"/>
          <w:rFonts w:ascii="Times New Roman" w:hAnsi="Times New Roman"/>
          <w:b w:val="0"/>
          <w:i w:val="0"/>
          <w:sz w:val="24"/>
        </w:rPr>
        <w:t>Playwright browser automation scripts were executed to collect search results from Google and YouTube. The scripts performed searches for all five search terms, captured the top 10 results per term, and recorded URLs, metadata, and screenshots.</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2: Manual data collection (Days 1–2). </w:t>
      </w:r>
      <w:r>
        <w:rPr>
          <w:rFonts w:ascii="Times New Roman" w:hAnsi="Times New Roman" w:cs="Times New Roman"/>
          <w:rFonts w:ascii="Times New Roman" w:hAnsi="Times New Roman"/>
          <w:b w:val="0"/>
          <w:i w:val="0"/>
          <w:sz w:val="24"/>
        </w:rPr>
        <w:t>The primary researcher manually collected search results from TikTok and Instagram using the platform-native search functions. Results were recorded in the same standardised format as the automated collection.</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Pilot scoring. </w:t>
      </w:r>
      <w:r>
        <w:rPr>
          <w:rFonts w:ascii="Times New Roman" w:hAnsi="Times New Roman" w:cs="Times New Roman"/>
          <w:rFonts w:ascii="Times New Roman" w:hAnsi="Times New Roman"/>
          <w:b w:val="0"/>
          <w:i w:val="0"/>
          <w:sz w:val="24"/>
        </w:rPr>
        <w:t>Prior to the full assessment, the primary researcher conducted a pilot scoring exercise on 10 content items (2–3 per platform, not included in the final sample) to test the operationalisation of the DISCERN and JAMA instruments for social media content. This pilot identified that DISCERN questions Q4 (sources of information) and Q11 (risks of treatment) were the most challenging to adapt to short-form video, as these items often required careful distinction between explicitly visible evidence and implied claims. Scoring rules were refined accordingly: for Q4, on-screen citation of sources or verbal references to guidelines were accepted; for Q11, any explicit mention of injury risk, contraindications, or the advice to consult a professional was scored positively. These pilot-derived rules were documented in the scoring guide and applied consistently across the final audited dataset.</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3: Primary quality assessment. </w:t>
      </w:r>
      <w:r>
        <w:rPr>
          <w:rFonts w:ascii="Times New Roman" w:hAnsi="Times New Roman" w:cs="Times New Roman"/>
          <w:rFonts w:ascii="Times New Roman" w:hAnsi="Times New Roman"/>
          <w:b w:val="0"/>
          <w:i w:val="0"/>
          <w:sz w:val="24"/>
        </w:rPr>
        <w:t>The primary researcher assessed all 197 audited content items using both the DISCERN instrument and the JAMA benchmarks. For text-based website content, each article was read in full. For video content (YouTube and TikTok), scoring was based on a combination of the audiovisual content, visible captions, descriptions, on-screen text, and profile information; full verbatim transcription was not performed. For Instagram carousels and image posts, scoring was based on all visible text, captions, and associated profile information. This approach reflects the information a typical user would encounter when engaging with each item. Scores were recorded in a structured data collection spreadsheet.</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4: Second rater assessment. </w:t>
      </w:r>
      <w:r>
        <w:rPr>
          <w:rFonts w:ascii="Times New Roman" w:hAnsi="Times New Roman" w:cs="Times New Roman"/>
          <w:rFonts w:ascii="Times New Roman" w:hAnsi="Times New Roman"/>
          <w:b w:val="0"/>
          <w:i w:val="0"/>
          <w:sz w:val="24"/>
        </w:rPr>
        <w:t>A trained second rater—a fellow Master of Public Health student with prior coursework in epidemiology and health communication—independently scored a 20% subsample of content items (n = 40; 10 randomly selected items per platform) using both instruments. Prior to independent scoring, the second rater received a two-hour training session covering the DISCERN instrument, JAMA benchmarks, and their social media operationalisations, followed by supervised practice scoring of five items (not included in the final sample) with discussion of discrepancies. The second rater was then provided with the same scoring guidelines, quick-reference card, and worked examples as the primary researcher to ensure standardised application of the assessment criteria.</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5: Inter-rater reliability assessment. </w:t>
      </w:r>
      <w:r>
        <w:rPr>
          <w:rFonts w:ascii="Times New Roman" w:hAnsi="Times New Roman" w:cs="Times New Roman"/>
          <w:rFonts w:ascii="Times New Roman" w:hAnsi="Times New Roman"/>
          <w:b w:val="0"/>
          <w:i w:val="0"/>
          <w:sz w:val="24"/>
        </w:rPr>
        <w:t>Agreement between the primary researcher and the second rater was evaluated using the Intraclass Correlation Coefficient (ICC) for DISCERN scores and Cohen’s kappa (κ) for JAMA criteria. These metrics are reported in the Results chapter.</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Phase 6: Statistical analysis. </w:t>
      </w:r>
      <w:r>
        <w:rPr>
          <w:rFonts w:ascii="Times New Roman" w:hAnsi="Times New Roman" w:cs="Times New Roman"/>
          <w:rFonts w:ascii="Times New Roman" w:hAnsi="Times New Roman"/>
          <w:b w:val="0"/>
          <w:i w:val="0"/>
          <w:sz w:val="24"/>
        </w:rPr>
        <w:t>Following the completion of quality assessments, all data were compiled and analysed using Python 3.13 with scientific computing libraries, as detailed in Section 2.7.</w:t>
      </w:r>
    </w:p>
    <w:p>
      <w:pPr>
        <w:spacing w:before="120" w:after="0" w:line="360" w:lineRule="auto"/>
        <w:jc w:val="both"/>
      </w:pPr>
      <w:r>
        <w:rPr>
          <w:rFonts w:ascii="Times New Roman" w:hAnsi="Times New Roman" w:cs="Times New Roman"/>
          <w:rFonts w:ascii="Times New Roman" w:hAnsi="Times New Roman"/>
          <w:b w:val="0"/>
          <w:i w:val="0"/>
          <w:sz w:val="24"/>
        </w:rPr>
      </w:r>
    </w:p>
    <w:p>
      <w:pPr>
        <w:spacing w:before="240" w:after="0" w:line="360" w:lineRule="auto"/>
        <w:jc w:val="center"/>
      </w:pPr>
      <w:r>
        <w:rPr>
          <w:rFonts w:ascii="Times New Roman" w:hAnsi="Times New Roman" w:cs="Times New Roman"/>
          <w:rFonts w:ascii="Times New Roman" w:hAnsi="Times New Roman"/>
          <w:b/>
          <w:i w:val="0"/>
          <w:sz w:val="24"/>
        </w:rPr>
        <w:t>Figure 2.1</w:t>
      </w:r>
    </w:p>
    <w:p>
      <w:pPr>
        <w:spacing w:before="0" w:after="120" w:line="360" w:lineRule="auto"/>
        <w:jc w:val="center"/>
      </w:pPr>
      <w:r>
        <w:rPr>
          <w:rFonts w:ascii="Times New Roman" w:hAnsi="Times New Roman" w:cs="Times New Roman"/>
          <w:rFonts w:ascii="Times New Roman" w:hAnsi="Times New Roman"/>
          <w:b w:val="0"/>
          <w:i/>
          <w:sz w:val="24"/>
        </w:rPr>
        <w:t>Flow Diagram of the Research Process</w:t>
      </w:r>
    </w:p>
    <w:tbl>
      <w:tblPr>
        <w:tblW w:type="auto" w:w="0"/>
        <w:jc w:val="center"/>
        <w:tblLook w:firstColumn="1" w:firstRow="1" w:lastColumn="0" w:lastRow="0" w:noHBand="0" w:noVBand="1" w:val="04A0"/>
      </w:tblPr>
      <w:tblGrid>
        <w:gridCol w:w="9026"/>
      </w:tblGrid>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1: Automated Data Collection</w:t>
              <w:br/>
              <w:t>(Google &amp; YouTube via Playwright – Day 1)</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2: Manual Data Collection</w:t>
              <w:br/>
              <w:t>(TikTok &amp; Instagram – Days 1–2)</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3: Primary DISCERN &amp; JAMA Assessment</w:t>
              <w:br/>
              <w:t>(Final audited N = 197 content items)</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4: Second Rater Assessment</w:t>
              <w:br/>
              <w:t>(20% subsample, n = 40)</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5: Inter-Rater Reliability</w:t>
              <w:br/>
              <w:t>(ICC for DISCERN; Cohen’s κ for JAMA)</w:t>
            </w:r>
          </w:p>
        </w:tc>
      </w:tr>
      <w:tr>
        <w:tc>
          <w:tcPr>
            <w:tcW w:type="dxa" w:w="5669"/>
            <w:tcBorders>
              <w:top w:val="none" w:sz="0" w:space="0" w:color="FFFFFF"/>
              <w:bottom w:val="none" w:sz="0" w:space="0" w:color="FFFFFF"/>
              <w:left w:val="none" w:sz="0" w:space="0" w:color="FFFFFF"/>
              <w:right w:val="none" w:sz="0" w:space="0" w:color="FFFFFF"/>
            </w:tcBorders>
          </w:tcPr>
          <w:p>
            <w:pPr>
              <w:jc w:val="center"/>
            </w:pPr>
            <w:r/>
            <w:r>
              <w:rPr>
                <w:rFonts w:ascii="Times New Roman" w:hAnsi="Times New Roman" w:cs="Times New Roman"/>
                <w:rFonts w:ascii="Times New Roman" w:hAnsi="Times New Roman"/>
                <w:b/>
                <w:i w:val="0"/>
                <w:sz w:val="28"/>
              </w:rPr>
              <w:t>↓</w:t>
            </w:r>
          </w:p>
        </w:tc>
      </w:tr>
      <w:tr>
        <w:tc>
          <w:tcPr>
            <w:tcW w:type="dxa" w:w="5669"/>
            <w:tcBorders>
              <w:top w:val="single" w:sz="8" w:space="0" w:color="000000"/>
              <w:bottom w:val="single" w:sz="8" w:space="0" w:color="000000"/>
              <w:left w:val="single" w:sz="8" w:space="0" w:color="000000"/>
              <w:right w:val="single" w:sz="8" w:space="0" w:color="000000"/>
            </w:tcBorders>
          </w:tcPr>
          <w:p>
            <w:pPr>
              <w:jc w:val="center"/>
            </w:pPr>
            <w:r/>
            <w:r>
              <w:rPr>
                <w:rFonts w:ascii="Times New Roman" w:hAnsi="Times New Roman" w:cs="Times New Roman"/>
                <w:rFonts w:ascii="Times New Roman" w:hAnsi="Times New Roman"/>
                <w:b w:val="0"/>
                <w:i w:val="0"/>
                <w:sz w:val="20"/>
              </w:rPr>
              <w:t>Phase 6: Statistical Analysis</w:t>
              <w:br/>
              <w:t>(Python 3.13 with SciPy, pingouin, matplotlib/seaborn)</w:t>
            </w:r>
          </w:p>
        </w:tc>
      </w:tr>
    </w:tbl>
    <w:p>
      <w:pPr>
        <w:spacing w:before="60" w:after="240" w:line="240" w:lineRule="auto"/>
        <w:jc w:val="center"/>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The research process proceeded sequentially through six phases over the study period (February–March 2026).</w:t>
      </w:r>
    </w:p>
    <w:p>
      <w:pPr>
        <w:pStyle w:val="Heading3"/>
        <w:spacing w:before="160" w:after="120" w:line="360" w:lineRule="auto"/>
        <w:jc w:val="left"/>
      </w:pPr>
      <w:r>
        <w:rPr>
          <w:rFonts w:ascii="Times New Roman" w:hAnsi="Times New Roman" w:cs="Times New Roman"/>
          <w:rFonts w:ascii="Times New Roman" w:hAnsi="Times New Roman"/>
          <w:b/>
          <w:i w:val="0"/>
          <w:sz w:val="24"/>
        </w:rPr>
        <w:t>2.6.1 Ethical Considerations</w:t>
      </w:r>
    </w:p>
    <w:p>
      <w:pPr>
        <w:spacing w:before="0" w:after="120" w:line="360" w:lineRule="auto"/>
        <w:ind w:firstLine="720"/>
        <w:jc w:val="both"/>
      </w:pPr>
      <w:r>
        <w:rPr>
          <w:rFonts w:ascii="Times New Roman" w:hAnsi="Times New Roman" w:cs="Times New Roman"/>
          <w:rFonts w:ascii="Times New Roman" w:hAnsi="Times New Roman"/>
          <w:b w:val="0"/>
          <w:i w:val="0"/>
          <w:sz w:val="24"/>
        </w:rPr>
        <w:t>The present study did not involve direct interaction with human participants, as all data were derived from publicly available online content. Consequently, formal ethics committee approval was not required, consistent with standard practice for content analyses of publicly accessible materials (Snelson, 2016). Nonetheless, the study was designed in line with internet research ethics principles by limiting data collection to public-facing content, avoiding private groups or restricted materials, not bypassing access controls, and minimising unnecessary identification of individuals in the thesis text. No personal data were collected beyond publicly displayed profile information relevant to creator-type classification, and screenshots were retained solely as an audit trail for verification purposes.</w:t>
      </w:r>
    </w:p>
    <w:p>
      <w:pPr>
        <w:pStyle w:val="Heading2"/>
        <w:spacing w:before="240" w:after="120" w:line="360" w:lineRule="auto"/>
        <w:jc w:val="left"/>
      </w:pPr>
      <w:r>
        <w:rPr>
          <w:rFonts w:ascii="Times New Roman" w:hAnsi="Times New Roman" w:cs="Times New Roman"/>
          <w:rFonts w:ascii="Times New Roman" w:hAnsi="Times New Roman"/>
          <w:b/>
          <w:i w:val="0"/>
          <w:sz w:val="24"/>
        </w:rPr>
        <w:t>2.7 Methods of Statistical Analysis</w:t>
      </w:r>
    </w:p>
    <w:p>
      <w:pPr>
        <w:spacing w:before="0" w:after="120" w:line="360" w:lineRule="auto"/>
        <w:ind w:firstLine="720"/>
        <w:jc w:val="both"/>
      </w:pPr>
      <w:r>
        <w:rPr>
          <w:rFonts w:ascii="Times New Roman" w:hAnsi="Times New Roman" w:cs="Times New Roman"/>
          <w:rFonts w:ascii="Times New Roman" w:hAnsi="Times New Roman"/>
          <w:b w:val="0"/>
          <w:i w:val="0"/>
          <w:sz w:val="24"/>
        </w:rPr>
        <w:t>All statistical analyses were conducted using Python 3.13 with the following scientific computing libraries: pandas (McKinney, 2010) for data manipulation, SciPy (Virtanen et al., 2020) for non-parametric inferential tests including Kruskal–Wallis, Mann–Whitney U, chi-square, and Spearman correlations, pingouin (Vallat, 2018) for intraclass correlation coefficient computation, and matplotlib/seaborn for publication-quality graphical representations. The significance level was set at α = 0.05 for all inferential tests. The complete analysis code is reproduced in Appendix D.</w:t>
      </w:r>
    </w:p>
    <w:p>
      <w:pPr>
        <w:pStyle w:val="Heading3"/>
        <w:spacing w:before="160" w:after="120" w:line="360" w:lineRule="auto"/>
        <w:jc w:val="left"/>
      </w:pPr>
      <w:r>
        <w:rPr>
          <w:rFonts w:ascii="Times New Roman" w:hAnsi="Times New Roman" w:cs="Times New Roman"/>
          <w:rFonts w:ascii="Times New Roman" w:hAnsi="Times New Roman"/>
          <w:b/>
          <w:i w:val="0"/>
          <w:sz w:val="24"/>
        </w:rPr>
        <w:t>2.7.1 Descriptive Statistics</w:t>
      </w:r>
    </w:p>
    <w:p>
      <w:pPr>
        <w:spacing w:before="0" w:after="120" w:line="360" w:lineRule="auto"/>
        <w:ind w:firstLine="720"/>
        <w:jc w:val="both"/>
      </w:pPr>
      <w:r>
        <w:rPr>
          <w:rFonts w:ascii="Times New Roman" w:hAnsi="Times New Roman" w:cs="Times New Roman"/>
          <w:rFonts w:ascii="Times New Roman" w:hAnsi="Times New Roman"/>
          <w:b w:val="0"/>
          <w:i w:val="0"/>
          <w:sz w:val="24"/>
        </w:rPr>
        <w:t>Descriptive statistics were employed to characterise the distribution of quality scores across platforms and content categories. For DISCERN total scores, the median, interquartile range (IQR), and range were reported for each platform, as ordinal Likert-type data are best represented by median-based measures of central tendency (Sullivan &amp; Artino, 2013). For JAMA benchmarks, frequencies and percentages of compliance for each criterion were calculated per platform, along with overall JAMA score distributions.</w:t>
      </w:r>
    </w:p>
    <w:p>
      <w:pPr>
        <w:pStyle w:val="Heading3"/>
        <w:spacing w:before="160" w:after="120" w:line="360" w:lineRule="auto"/>
        <w:jc w:val="left"/>
      </w:pPr>
      <w:r>
        <w:rPr>
          <w:rFonts w:ascii="Times New Roman" w:hAnsi="Times New Roman" w:cs="Times New Roman"/>
          <w:rFonts w:ascii="Times New Roman" w:hAnsi="Times New Roman"/>
          <w:b/>
          <w:i w:val="0"/>
          <w:sz w:val="24"/>
        </w:rPr>
        <w:t>2.7.2 Inter-Rater Reliability</w:t>
      </w:r>
    </w:p>
    <w:p>
      <w:pPr>
        <w:spacing w:before="0" w:after="120" w:line="360" w:lineRule="auto"/>
        <w:ind w:firstLine="720"/>
        <w:jc w:val="both"/>
      </w:pPr>
      <w:r>
        <w:rPr>
          <w:rFonts w:ascii="Times New Roman" w:hAnsi="Times New Roman" w:cs="Times New Roman"/>
          <w:rFonts w:ascii="Times New Roman" w:hAnsi="Times New Roman"/>
          <w:b w:val="0"/>
          <w:i w:val="0"/>
          <w:sz w:val="24"/>
        </w:rPr>
        <w:t>Inter-rater reliability was assessed for the 20% subsample (n = 40) independently scored by both the primary researcher and the second rater. For DISCERN total scores, the Intraclass Correlation Coefficient (ICC) was calculated using a two-way mixed-effects model, single measures, with absolute agreement (ICC[3,1]; Koo &amp; Li, 2016). ICC values were interpreted according to established guidelines: values less than 0.50 indicate poor reliability, 0.50–0.75 indicate moderate reliability, 0.75–0.90 indicate good reliability, and values greater than 0.90 indicate excellent reliability (Koo &amp; Li, 2016).</w:t>
      </w:r>
    </w:p>
    <w:p>
      <w:pPr>
        <w:spacing w:before="0" w:after="120" w:line="360" w:lineRule="auto"/>
        <w:ind w:firstLine="720"/>
        <w:jc w:val="both"/>
      </w:pPr>
      <w:r>
        <w:rPr>
          <w:rFonts w:ascii="Times New Roman" w:hAnsi="Times New Roman" w:cs="Times New Roman"/>
          <w:rFonts w:ascii="Times New Roman" w:hAnsi="Times New Roman"/>
          <w:b w:val="0"/>
          <w:i w:val="0"/>
          <w:sz w:val="24"/>
        </w:rPr>
        <w:t>For the JAMA benchmark criteria, which are scored dichotomously (present/absent), Cohen’s kappa (κ) was calculated for each criterion. Kappa values were interpreted using the guidelines proposed by Landis and Koch (1977): values below 0.20 indicate slight agreement, 0.21–0.40 indicate fair agreement, 0.41–0.60 indicate moderate agreement, 0.61–0.80 indicate substantial agreement, and values above 0.80 indicate almost perfect agreement.</w:t>
      </w:r>
    </w:p>
    <w:p>
      <w:pPr>
        <w:pStyle w:val="Heading3"/>
        <w:spacing w:before="160" w:after="120" w:line="360" w:lineRule="auto"/>
        <w:jc w:val="left"/>
      </w:pPr>
      <w:r>
        <w:rPr>
          <w:rFonts w:ascii="Times New Roman" w:hAnsi="Times New Roman" w:cs="Times New Roman"/>
          <w:rFonts w:ascii="Times New Roman" w:hAnsi="Times New Roman"/>
          <w:b/>
          <w:i w:val="0"/>
          <w:sz w:val="24"/>
        </w:rPr>
        <w:t>2.7.3 Inferential Statistics</w:t>
      </w:r>
    </w:p>
    <w:p>
      <w:pPr>
        <w:spacing w:before="0" w:after="120" w:line="360" w:lineRule="auto"/>
        <w:ind w:firstLine="720"/>
        <w:jc w:val="both"/>
      </w:pPr>
      <w:r>
        <w:rPr>
          <w:rFonts w:ascii="Times New Roman" w:hAnsi="Times New Roman" w:cs="Times New Roman"/>
          <w:rFonts w:ascii="Times New Roman" w:hAnsi="Times New Roman"/>
          <w:b w:val="0"/>
          <w:i w:val="0"/>
          <w:sz w:val="24"/>
        </w:rPr>
        <w:t>Non-parametric statistical tests were selected as the primary inferential methods due to the ordinal nature of DISCERN scores and the anticipated non-normal distribution of quality data, consistent with methodological recommendations for health information quality research (Naaman et al., 2022).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Platform comparisons of DISCERN scores. </w:t>
      </w:r>
      <w:r>
        <w:rPr>
          <w:rFonts w:ascii="Times New Roman" w:hAnsi="Times New Roman" w:cs="Times New Roman"/>
          <w:rFonts w:ascii="Times New Roman" w:hAnsi="Times New Roman"/>
          <w:b w:val="0"/>
          <w:i w:val="0"/>
          <w:sz w:val="24"/>
        </w:rPr>
        <w:t>The Kruskal-Wallis H test was employed to examine whether DISCERN total scores differed significantly across the four platforms (websites, YouTube, TikTok, and Instagram). When a statistically significant omnibus result was obtained, pairwise Mann–Whitney U tests with Bonferroni correction were applied to identify which specific platform pairs differed significantly. The omnibus effect size was computed using the formula (H − k + 1) / (N − k) and is reported as an eta-squared approximation for Kruskal-Wallis comparisons. This value should be interpreted cautiously as an index of distributional separation rather than a literal proportion of explained variance; values of approximately 0.01, 0.06, and 0.14 correspond to small, medium, and large effects, respectively (Cohen, 1988).</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Platform comparisons of JAMA compliance. </w:t>
      </w:r>
      <w:r>
        <w:rPr>
          <w:rFonts w:ascii="Times New Roman" w:hAnsi="Times New Roman" w:cs="Times New Roman"/>
          <w:rFonts w:ascii="Times New Roman" w:hAnsi="Times New Roman"/>
          <w:b w:val="0"/>
          <w:i w:val="0"/>
          <w:sz w:val="24"/>
        </w:rPr>
        <w:t>The chi-square test of independence was used to assess whether the proportion of content meeting each JAMA criterion differed across platforms. Where expected cell frequencies fell below 5, Fisher’s exact test was employed as an alternative. The effect size was reported as Cramér’s V, interpreted according to Cohen’s (1988) guidelines: values of 0.10, 0.30, and 0.50 represent small, medium, and large effects for tables with three degrees of freedom.</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Creator type and quality scores. </w:t>
      </w:r>
      <w:r>
        <w:rPr>
          <w:rFonts w:ascii="Times New Roman" w:hAnsi="Times New Roman" w:cs="Times New Roman"/>
          <w:rFonts w:ascii="Times New Roman" w:hAnsi="Times New Roman"/>
          <w:b w:val="0"/>
          <w:i w:val="0"/>
          <w:sz w:val="24"/>
        </w:rPr>
        <w:t>To investigate whether creator type moderates information quality, DISCERN scores were compared between professional creators (healthcare professionals and certified fitness professionals combined) and non-professional creators (fitness influencers, general users, and organisations combined) using the Mann-Whitney U test. Organisations were classified as non-professional because they encompass a heterogeneous mix of entities—from government health departments to commercial fitness brands—making uniform professional classification inappropriate. The effect size was reported as rank-biserial correlation (r</w:t>
      </w:r>
      <w:r>
        <w:rPr>
          <w:rFonts w:ascii="Times New Roman" w:hAnsi="Times New Roman" w:cs="Times New Roman"/>
          <w:rFonts w:ascii="Times New Roman" w:hAnsi="Times New Roman"/>
          <w:b w:val="0"/>
          <w:i/>
          <w:sz w:val="24"/>
        </w:rPr>
        <w:t>rb</w:t>
      </w:r>
      <w:r>
        <w:rPr>
          <w:rFonts w:ascii="Times New Roman" w:hAnsi="Times New Roman" w:cs="Times New Roman"/>
          <w:rFonts w:ascii="Times New Roman" w:hAnsi="Times New Roman"/>
          <w:b w:val="0"/>
          <w:i w:val="0"/>
          <w:sz w:val="24"/>
        </w:rPr>
        <w:t>), where values of 0.10, 0.30, and 0.50 correspond to small, medium, and large effects (Fritz et al., 2012).</w:t>
      </w:r>
    </w:p>
    <w:p>
      <w:pPr>
        <w:spacing w:before="0" w:after="120" w:line="360" w:lineRule="auto"/>
        <w:ind w:firstLine="720"/>
        <w:jc w:val="both"/>
      </w:pPr>
      <w:r>
        <w:rPr>
          <w:rFonts w:ascii="Times New Roman" w:hAnsi="Times New Roman" w:cs="Times New Roman"/>
          <w:rFonts w:ascii="Times New Roman" w:hAnsi="Times New Roman"/>
          <w:b/>
          <w:i w:val="0"/>
          <w:sz w:val="24"/>
        </w:rPr>
        <w:t xml:space="preserve">Engagement metrics and information quality. </w:t>
      </w:r>
      <w:r>
        <w:rPr>
          <w:rFonts w:ascii="Times New Roman" w:hAnsi="Times New Roman" w:cs="Times New Roman"/>
          <w:rFonts w:ascii="Times New Roman" w:hAnsi="Times New Roman"/>
          <w:b w:val="0"/>
          <w:i w:val="0"/>
          <w:sz w:val="24"/>
        </w:rPr>
        <w:t>Spearman’s rank correlation coefficient (ρ) was calculated to examine the relationship between engagement metrics (views, likes, shares) and DISCERN total scores. This non-parametric correlation was selected due to the highly skewed distribution typically observed in engagement data and the ordinal nature of DISCERN scores. Correlation strength was interpreted as: ρ &lt; 0.10 negligible, 0.10–0.39 weak, 0.40–0.69 moderate, and ≥ 0.70 strong (Schober et al., 2018).</w:t>
      </w:r>
    </w:p>
    <w:p>
      <w:pPr>
        <w:spacing w:before="0" w:after="120" w:line="360" w:lineRule="auto"/>
        <w:ind w:firstLine="720"/>
        <w:jc w:val="both"/>
      </w:pPr>
      <w:r>
        <w:rPr>
          <w:rFonts w:ascii="Times New Roman" w:hAnsi="Times New Roman" w:cs="Times New Roman"/>
          <w:rFonts w:ascii="Times New Roman" w:hAnsi="Times New Roman"/>
          <w:b w:val="0"/>
          <w:i w:val="0"/>
          <w:sz w:val="24"/>
        </w:rPr>
        <w:t>Table 2.4 provides a summary of the statistical analysis plan, linking each research question to the corresponding variables, statistical tests, and rationale for test selection.</w:t>
      </w:r>
    </w:p>
    <w:p>
      <w:pPr>
        <w:spacing w:before="240" w:after="0" w:line="360" w:lineRule="auto"/>
        <w:jc w:val="left"/>
      </w:pPr>
      <w:r>
        <w:rPr>
          <w:rFonts w:ascii="Times New Roman" w:hAnsi="Times New Roman" w:cs="Times New Roman"/>
          <w:rFonts w:ascii="Times New Roman" w:hAnsi="Times New Roman"/>
          <w:b/>
          <w:i w:val="0"/>
          <w:sz w:val="24"/>
        </w:rPr>
        <w:t>Table 2.4</w:t>
      </w:r>
    </w:p>
    <w:p>
      <w:pPr>
        <w:spacing w:before="0" w:after="120" w:line="360" w:lineRule="auto"/>
        <w:jc w:val="left"/>
      </w:pPr>
      <w:r>
        <w:rPr>
          <w:rFonts w:ascii="Times New Roman" w:hAnsi="Times New Roman" w:cs="Times New Roman"/>
          <w:rFonts w:ascii="Times New Roman" w:hAnsi="Times New Roman"/>
          <w:b w:val="0"/>
          <w:i/>
          <w:sz w:val="24"/>
        </w:rPr>
        <w:t>Summary of Statistical Analysis Plan by Research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68"/>
            <w:shd w:fill="D9E2F3"/>
          </w:tcPr>
          <w:p>
            <w:pPr>
              <w:spacing w:before="20" w:after="20" w:line="276" w:lineRule="auto"/>
              <w:jc w:val="center"/>
            </w:pPr>
            <w:r/>
            <w:r>
              <w:rPr>
                <w:rFonts w:ascii="Times New Roman" w:hAnsi="Times New Roman" w:cs="Times New Roman"/>
                <w:rFonts w:ascii="Times New Roman" w:hAnsi="Times New Roman"/>
                <w:b/>
                <w:i w:val="0"/>
                <w:sz w:val="18"/>
              </w:rPr>
              <w:t>Research Question</w:t>
            </w:r>
          </w:p>
        </w:tc>
        <w:tc>
          <w:tcPr>
            <w:tcW w:type="dxa" w:w="1984"/>
            <w:shd w:fill="D9E2F3"/>
          </w:tcPr>
          <w:p>
            <w:pPr>
              <w:spacing w:before="20" w:after="20" w:line="276" w:lineRule="auto"/>
              <w:jc w:val="center"/>
            </w:pPr>
            <w:r/>
            <w:r>
              <w:rPr>
                <w:rFonts w:ascii="Times New Roman" w:hAnsi="Times New Roman" w:cs="Times New Roman"/>
                <w:rFonts w:ascii="Times New Roman" w:hAnsi="Times New Roman"/>
                <w:b/>
                <w:i w:val="0"/>
                <w:sz w:val="18"/>
              </w:rPr>
              <w:t>Variables</w:t>
            </w:r>
          </w:p>
        </w:tc>
        <w:tc>
          <w:tcPr>
            <w:tcW w:type="dxa" w:w="2551"/>
            <w:shd w:fill="D9E2F3"/>
          </w:tcPr>
          <w:p>
            <w:pPr>
              <w:spacing w:before="20" w:after="20" w:line="276" w:lineRule="auto"/>
              <w:jc w:val="center"/>
            </w:pPr>
            <w:r/>
            <w:r>
              <w:rPr>
                <w:rFonts w:ascii="Times New Roman" w:hAnsi="Times New Roman" w:cs="Times New Roman"/>
                <w:rFonts w:ascii="Times New Roman" w:hAnsi="Times New Roman"/>
                <w:b/>
                <w:i w:val="0"/>
                <w:sz w:val="18"/>
              </w:rPr>
              <w:t>Statistical Test</w:t>
            </w:r>
          </w:p>
        </w:tc>
        <w:tc>
          <w:tcPr>
            <w:tcW w:type="dxa" w:w="2268"/>
            <w:shd w:fill="D9E2F3"/>
          </w:tcPr>
          <w:p>
            <w:pPr>
              <w:spacing w:before="20" w:after="20" w:line="276" w:lineRule="auto"/>
              <w:jc w:val="center"/>
            </w:pPr>
            <w:r/>
            <w:r>
              <w:rPr>
                <w:rFonts w:ascii="Times New Roman" w:hAnsi="Times New Roman" w:cs="Times New Roman"/>
                <w:rFonts w:ascii="Times New Roman" w:hAnsi="Times New Roman"/>
                <w:b/>
                <w:i w:val="0"/>
                <w:sz w:val="18"/>
              </w:rPr>
              <w:t>Rationale</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RQ1: How does PA information quality differ between traditional websites and social media?</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IV: Platform (4 levels)</w:t>
              <w:br/>
              <w:t>DV: DISCERN total score; JAMA criteria compliance</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Kruskal-Wallis H test (DISCERN)</w:t>
              <w:br/>
              <w:t>Pairwise Mann-Whitney U with Bonferroni</w:t>
              <w:br/>
              <w:t>χ² / Fisher’s exact test (JAMA)</w:t>
              <w:br/>
              <w:t>Effect sizes: eta-squared approximation, Cramér’s V</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Non-parametric; ordinal DISCERN data likely non-normally distributed. Chi-square appropriate for categorical JAMA data.</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RQ2: Does creator type moderate quality scores?</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IV: Creator type (professional vs. non-professional)</w:t>
              <w:br/>
              <w:t>DV: DISCERN total score</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Mann-Whitney U test</w:t>
              <w:br/>
              <w:t>Effect size: rank-biserial correlation</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Non-parametric comparison of two independent groups with ordinal outcome variable.</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RQ3: What is the relationship between engagement metrics and quality?</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Predictor: Views, likes, shares</w:t>
              <w:br/>
              <w:t>Outcome: DISCERN total score</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Spearman’s rank correlation (ρ)</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Non-parametric correlation appropriate for skewed engagement data and ordinal quality scores.</w:t>
            </w:r>
          </w:p>
        </w:tc>
      </w:tr>
      <w:tr>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Inter-rater reliability</w:t>
            </w:r>
          </w:p>
        </w:tc>
        <w:tc>
          <w:tcPr>
            <w:tcW w:type="dxa" w:w="1984"/>
          </w:tcPr>
          <w:p>
            <w:pPr>
              <w:spacing w:before="20" w:after="20" w:line="276" w:lineRule="auto"/>
              <w:jc w:val="left"/>
            </w:pPr>
            <w:r/>
            <w:r>
              <w:rPr>
                <w:rFonts w:ascii="Times New Roman" w:hAnsi="Times New Roman" w:cs="Times New Roman"/>
                <w:rFonts w:ascii="Times New Roman" w:hAnsi="Times New Roman"/>
                <w:b w:val="0"/>
                <w:i w:val="0"/>
                <w:sz w:val="18"/>
              </w:rPr>
              <w:t>Rater 1 vs. Rater 2 scores</w:t>
              <w:br/>
              <w:t>(20% subsample, n = 40)</w:t>
            </w:r>
          </w:p>
        </w:tc>
        <w:tc>
          <w:tcPr>
            <w:tcW w:type="dxa" w:w="2551"/>
          </w:tcPr>
          <w:p>
            <w:pPr>
              <w:spacing w:before="20" w:after="20" w:line="276" w:lineRule="auto"/>
              <w:jc w:val="left"/>
            </w:pPr>
            <w:r/>
            <w:r>
              <w:rPr>
                <w:rFonts w:ascii="Times New Roman" w:hAnsi="Times New Roman" w:cs="Times New Roman"/>
                <w:rFonts w:ascii="Times New Roman" w:hAnsi="Times New Roman"/>
                <w:b w:val="0"/>
                <w:i w:val="0"/>
                <w:sz w:val="18"/>
              </w:rPr>
              <w:t>ICC (two-way mixed, single measures, absolute agreement) for DISCERN</w:t>
              <w:br/>
              <w:t>Cohen’s κ for each JAMA criterion</w:t>
            </w:r>
          </w:p>
        </w:tc>
        <w:tc>
          <w:tcPr>
            <w:tcW w:type="dxa" w:w="2268"/>
          </w:tcPr>
          <w:p>
            <w:pPr>
              <w:spacing w:before="20" w:after="20" w:line="276" w:lineRule="auto"/>
              <w:jc w:val="left"/>
            </w:pPr>
            <w:r/>
            <w:r>
              <w:rPr>
                <w:rFonts w:ascii="Times New Roman" w:hAnsi="Times New Roman" w:cs="Times New Roman"/>
                <w:rFonts w:ascii="Times New Roman" w:hAnsi="Times New Roman"/>
                <w:b w:val="0"/>
                <w:i w:val="0"/>
                <w:sz w:val="18"/>
              </w:rPr>
              <w:t>ICC suitable for continuous/ordinal data; κ appropriate for dichotomous categorical data.</w:t>
            </w:r>
          </w:p>
        </w:tc>
      </w:tr>
    </w:tbl>
    <w:p>
      <w:pPr>
        <w:spacing w:before="60" w:after="240" w:line="240" w:lineRule="auto"/>
      </w:pPr>
      <w:r>
        <w:rPr>
          <w:rFonts w:ascii="Times New Roman" w:hAnsi="Times New Roman" w:cs="Times New Roman"/>
          <w:rFonts w:ascii="Times New Roman" w:hAnsi="Times New Roman"/>
          <w:b w:val="0"/>
          <w:i/>
          <w:sz w:val="20"/>
        </w:rPr>
        <w:t xml:space="preserve">Note. </w:t>
      </w:r>
      <w:r>
        <w:rPr>
          <w:rFonts w:ascii="Times New Roman" w:hAnsi="Times New Roman" w:cs="Times New Roman"/>
          <w:rFonts w:ascii="Times New Roman" w:hAnsi="Times New Roman"/>
          <w:b w:val="0"/>
          <w:i w:val="0"/>
          <w:sz w:val="20"/>
        </w:rPr>
        <w:t>IV = independent variable; DV = dependent variable; PA = physical activity; ICC = Intraclass Correlation Coefficient; χ² = chi-square; κ = kappa; ρ = Spearman’s rho. The Kruskal-Wallis omnibus effect size was calculated as (H − k + 1) / (N − k). Significance level: α = 0.05 for all tests.</w:t>
      </w:r>
    </w:p>
    <w:p>
      <w:pPr>
        <w:spacing w:before="120" w:after="120" w:line="360" w:lineRule="auto"/>
        <w:ind w:firstLine="720"/>
        <w:jc w:val="both"/>
      </w:pPr>
      <w:r>
        <w:rPr>
          <w:rFonts w:ascii="Times New Roman" w:hAnsi="Times New Roman" w:cs="Times New Roman"/>
          <w:rFonts w:ascii="Times New Roman" w:hAnsi="Times New Roman"/>
          <w:b w:val="0"/>
          <w:i w:val="0"/>
          <w:sz w:val="24"/>
        </w:rPr>
        <w:t>In summary, the methodological approach described in this chapter was designed to provide a rigorous, transparent, and replicable framework for evaluating the quality of physical activity information across four major digital platforms. The combination of the DISCERN instrument and JAMA benchmarks offers a comprehensive assessment of both substantive information quality and accountability standards. The use of non-parametric statistical methods is appropriate given the ordinal nature of the primary outcome measures, and the inclusion of inter-rater reliability assessment ensures the credibility of the quality ratings. The results of the analyses described herein are presented in Chapter 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