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4. CONSIDERATIONS</w:t>
      </w:r>
    </w:p>
    <w:p>
      <w:pPr>
        <w:pStyle w:val="Heading2"/>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approximation (0.469).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both views and likes showed significant negative correlations with quality; the overall positive correlation between likes and quality across social-media items was identified as primarily a Simpson's paradox artefact of between-social-platform differences.</w:t>
      </w:r>
    </w:p>
    <w:p>
      <w:pPr>
        <w:pStyle w:val="Heading2"/>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percentage of 43.58% (95% CI [37.80, 49.35]) across studies evaluating online health information (Liu et al., 2025). Direct numerical comparison should be interpreted cautiously because that review synthesised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pStyle w:val="Heading2"/>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platform’s recommendation system may actively promote lower-quality physical activity content. This is a concerning finding that warrants dedicated algorithmic audit research, though the cross-sectional design cannot establish causality.</w:t>
      </w:r>
    </w:p>
    <w:p>
      <w:pPr>
        <w:spacing w:line="360" w:lineRule="auto" w:after="120" w:before="0"/>
        <w:jc w:val="both"/>
      </w:pPr>
      <w:r>
        <w:rPr>
          <w:rFonts w:ascii="Times New Roman" w:hAnsi="Times New Roman" w:cs="Times New Roman"/>
          <w:b w:val="0"/>
          <w:i w:val="0"/>
          <w:color w:val="000000"/>
          <w:sz w:val="24"/>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binary result, while significant, is somewhat diluted by grouping organisations (n = 84)—which include high-quality institutional sources such as NHS and WHO—into the non-professional category.</w:t>
      </w:r>
    </w:p>
    <w:p>
      <w:pPr>
        <w:pStyle w:val="Heading2"/>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pStyle w:val="Heading2"/>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text-based and audiovisual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pPr>
        <w:pStyle w:val="Heading2"/>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