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5. CONCLUSIONS AND RECOMMENDATIONS</w:t>
      </w:r>
    </w:p>
    <w:p>
      <w:pPr>
        <w:pStyle w:val="Heading2"/>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creator type influences information quality in a graded fashion, with credentialed professionals producing measurably higher-quality content.</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pStyle w:val="Heading2"/>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warrants urgent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pStyle w:val="Heading2"/>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quality assessments.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significant negative views–quality and likes–quality correlations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