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pStyle w:val="Heading2"/>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pStyle w:val="Heading2"/>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and TikTok health content despite recognised methodological concerns when applied to audiovisual and short-form media (Azer, 2020; Kong et al., 2021; Li et al., 2024). The present study therefore treats their use as a transparent, controlled adaptation rather than as a platform-specific validation.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Targeted sample of 200 content items across four platforms; final audited analytical sample of 197 items after three unverifiable TikTok records were excluded.</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pPr>
        <w:pStyle w:val="Heading2"/>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pStyle w:val="Heading2"/>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sampling design targeted 200 content items from four digital platforms: traditional websites accessed through Google search (target n = 50), YouTube (target n = 50), TikTok (target n = 50), and Instagram (target n = 50). This target sample size was designed to provide balanced cross-platform coverage and is comparable to sample sizes commonly used in online health-information quality studies summarised in prior reviews (Drozd et al., 2018; Osman et al., 2022). Following the post-collection audit, three TikTok records could not be verified against the raw captures and were excluded without replacement, yielding a final analytical sample of 197 items (50 websites, 50 YouTube videos, 47 TikTok videos, and 50 Instagram posts).</w:t>
      </w:r>
    </w:p>
    <w:p>
      <w:pPr>
        <w:spacing w:before="0" w:after="120" w:line="360" w:lineRule="auto"/>
        <w:ind w:firstLine="720"/>
        <w:jc w:val="both"/>
      </w:pPr>
      <w:r>
        <w:rPr>
          <w:rFonts w:ascii="Times New Roman" w:hAnsi="Times New Roman" w:cs="Times New Roman"/>
          <w:rFonts w:ascii="Times New Roman" w:hAnsi="Times New Roman"/>
          <w:b w:val="0"/>
          <w:i w:val="0"/>
          <w:sz w:val="24"/>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who predominantly access the first page or highest-ranked results (Pan et al., 2007). After the audit exclusions described above, the final analytical sample comprised 197 items.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sampling frame. During the later audit, three TikTok records lacked verifiable raw-source support and were therefore removed without replacement.</w:t>
      </w:r>
    </w:p>
    <w:p>
      <w:pPr>
        <w:spacing w:before="0" w:after="120" w:line="360" w:lineRule="auto"/>
        <w:ind w:firstLine="720"/>
        <w:jc w:val="both"/>
      </w:pPr>
      <w:r>
        <w:rPr>
          <w:rFonts w:ascii="Times New Roman" w:hAnsi="Times New Roman" w:cs="Times New Roman"/>
          <w:rFonts w:ascii="Times New Roman" w:hAnsi="Times New Roman"/>
          <w:b w:val="0"/>
          <w:i w:val="0"/>
          <w:sz w:val="24"/>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Planned Sampling Matrix: Target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targeted number of content items per search term per platform. Planned collection frame N = 200; final audited analytical sample N = 197 after three TikTok exclusions.</w:t>
      </w:r>
    </w:p>
    <w:p>
      <w:pPr>
        <w:pStyle w:val="Heading2"/>
        <w:spacing w:before="240" w:after="120" w:line="360" w:lineRule="auto"/>
        <w:jc w:val="left"/>
      </w:pPr>
      <w:r>
        <w:rPr>
          <w:rFonts w:ascii="Times New Roman" w:hAnsi="Times New Roman" w:cs="Times New Roman"/>
          <w:rFonts w:ascii="Times New Roman" w:hAnsi="Times New Roman"/>
          <w:b/>
          <w:i w:val="0"/>
          <w:sz w:val="24"/>
        </w:rPr>
        <w:t>2.5 Research Methods</w:t>
      </w:r>
    </w:p>
    <w:p>
      <w:pPr>
        <w:pStyle w:val="Heading3"/>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personalisation.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For TikTok and Instagram, this order of appearance was treated as an operational proxy for ranking position rather than a guaranteed ordinal rank list. Reposts, advertisements, pinned/promoted content, and duplicate items from the same creator for the same search term were excluded and replaced by the next sequential organic result during the initial collection stage.</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pStyle w:val="Heading3"/>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Scoring was restricted to information visible to a typical user at the point of access. For websites, raters assessed the full article text and any immediately visible source, date, and 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the conservative lower score was retained.</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YouTube health content (Drozd et al., 2018;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pStyle w:val="Heading3"/>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pStyle w:val="Heading2"/>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Pilot scoring. </w:t>
      </w:r>
      <w:r>
        <w:rPr>
          <w:rFonts w:ascii="Times New Roman" w:hAnsi="Times New Roman" w:cs="Times New Roman"/>
          <w:rFonts w:ascii="Times New Roman" w:hAnsi="Times New Roman"/>
          <w:b w:val="0"/>
          <w:i w:val="0"/>
          <w:sz w:val="24"/>
        </w:rPr>
        <w:t>Prior to the full assessment, the primary researcher conducted a pilot scoring exercise on 10 content items (2–3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final sample) with discussion of discrepancies. The second rater was then provided with the same scoring guidelines, quick-reference card, and worked examples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(Final audited N = 197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matplotlib/seaborn)</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pStyle w:val="Heading3"/>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pPr>
        <w:pStyle w:val="Heading2"/>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pStyle w:val="Heading3"/>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pStyle w:val="Heading3"/>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pStyle w:val="Heading3"/>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analysing Likert-type rating scales (Sullivan &amp; Artino, 2013).</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Kruskal-Wallis comparisons. This value should be interpreted cautiously as an index of distributional separation rather than a literal proportion of explained variance;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(r_rb),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Pairwise Mann-Whitney U with Bonferroni</w:t>
              <w:br/>
              <w:t>χ² / Fisher’s exact test (JAMA)</w:t>
              <w:br/>
              <w:t>Effect sizes: eta-squared approximation,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