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REFERENCES</w:t>
      </w:r>
    </w:p>
    <w:p/>
    <w:p>
      <w:pPr>
        <w:spacing w:line="360" w:lineRule="auto"/>
        <w:ind w:left="720" w:hanging="720"/>
        <w:jc w:val="both"/>
      </w:pPr>
      <w:r>
        <w:rPr>
          <w:rFonts w:ascii="Times New Roman" w:hAnsi="Times New Roman"/>
          <w:sz w:val="24"/>
        </w:rPr>
        <w:t>Avram, M., Micallef, N., Patil, S., &amp; Menczer, F. (2020). Exposure to social engagement metrics increases vulnerability to misinformation. Harvard Kennedy School Misinformation Review, 1(5). https://doi.org/10.37016/mr-2020-033</w:t>
      </w:r>
    </w:p>
    <w:p>
      <w:pPr>
        <w:spacing w:line="360" w:lineRule="auto"/>
        <w:ind w:left="720" w:hanging="720"/>
        <w:jc w:val="both"/>
      </w:pPr>
      <w:r>
        <w:rPr>
          <w:rFonts w:ascii="Times New Roman" w:hAnsi="Times New Roman"/>
          <w:sz w:val="24"/>
        </w:rPr>
        <w:t>Azer, S. A. (2020). Are DISCERN and JAMA suitable instruments for assessing YouTube videos on thyroid cancer? Methodological concerns. Journal of Cancer Education, 35(6), 1267-1277. https://doi.org/10.1007/s13187-020-01763-9</w:t>
      </w:r>
    </w:p>
    <w:p>
      <w:pPr>
        <w:spacing w:line="360" w:lineRule="auto"/>
        <w:ind w:left="720" w:hanging="720"/>
        <w:jc w:val="both"/>
      </w:pPr>
      <w:r>
        <w:rPr>
          <w:rFonts w:ascii="Times New Roman" w:hAnsi="Times New Roman"/>
          <w:sz w:val="24"/>
        </w:rP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pPr>
        <w:spacing w:line="360" w:lineRule="auto"/>
        <w:ind w:left="720" w:hanging="720"/>
        <w:jc w:val="both"/>
      </w:pPr>
      <w:r>
        <w:rPr>
          <w:rFonts w:ascii="Times New Roman" w:hAnsi="Times New Roman"/>
          <w:sz w:val="24"/>
        </w:rPr>
        <w:t>Blakeslee, S. (2004). The CRAAP test. LOEX Quarterly, 31(3), 6-7. https://commons.emich.edu/loexquarterly/vol31/iss3/4</w:t>
      </w:r>
    </w:p>
    <w:p>
      <w:pPr>
        <w:spacing w:line="360" w:lineRule="auto"/>
        <w:ind w:left="720" w:hanging="720"/>
        <w:jc w:val="both"/>
      </w:pPr>
      <w:r>
        <w:rPr>
          <w:rFonts w:ascii="Times New Roman" w:hAnsi="Times New Roman"/>
          <w:sz w:val="24"/>
        </w:rPr>
        <w:t>Boyer, C., Baujard, V., &amp; Geissbuhler, A. (2011). Evolution of health web certification through the HONcode experience. Studies in Health Technology and Informatics, 169, 53-57. https://doi.org/10.3233/978-1-60750-806-9-53</w:t>
      </w:r>
    </w:p>
    <w:p>
      <w:pPr>
        <w:spacing w:line="360" w:lineRule="auto"/>
        <w:ind w:left="720" w:hanging="720"/>
        <w:jc w:val="both"/>
      </w:pPr>
      <w:r>
        <w:rPr>
          <w:rFonts w:ascii="Times New Roman" w:hAnsi="Times New Roman"/>
          <w:sz w:val="24"/>
        </w:rPr>
        <w:t>Charnock, D., Shepperd, S., Needham, G., &amp; Gann, R. (1999). DISCERN: An instrument for judging the quality of written consumer health information on treatment choices. Journal of Epidemiology and Community Health, 53(2), 105-111. https://doi.org/10.1136/jech.53.2.105</w:t>
      </w:r>
    </w:p>
    <w:p>
      <w:pPr>
        <w:spacing w:line="360" w:lineRule="auto"/>
        <w:ind w:left="720" w:hanging="720"/>
        <w:jc w:val="both"/>
      </w:pPr>
      <w:r>
        <w:rPr>
          <w:rFonts w:ascii="Times New Roman" w:hAnsi="Times New Roman"/>
          <w:sz w:val="24"/>
        </w:rPr>
        <w:t>Cohen, J. (1988). Statistical power analysis for the behavioral sciences (2nd ed.). Lawrence Erlbaum Associates.</w:t>
      </w:r>
    </w:p>
    <w:p>
      <w:pPr>
        <w:spacing w:line="360" w:lineRule="auto"/>
        <w:ind w:left="720" w:hanging="720"/>
        <w:jc w:val="both"/>
      </w:pPr>
      <w:r>
        <w:rPr>
          <w:rFonts w:ascii="Times New Roman" w:hAnsi="Times New Roman"/>
          <w:sz w:val="24"/>
        </w:rPr>
        <w:t>Cooke, A., Smith, D., &amp; Booth, A. (2012). Beyond PICO: The SPIDER tool for qualitative evidence synthesis. Qualitative Health Research, 22(10), 1435-1443. https://doi.org/10.1177/1049732312452938</w:t>
      </w:r>
    </w:p>
    <w:p>
      <w:pPr>
        <w:spacing w:line="360" w:lineRule="auto"/>
        <w:ind w:left="720" w:hanging="720"/>
        <w:jc w:val="both"/>
      </w:pPr>
      <w:r>
        <w:rPr>
          <w:rFonts w:ascii="Times New Roman" w:hAnsi="Times New Roman"/>
          <w:sz w:val="24"/>
        </w:rP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pPr>
        <w:spacing w:line="360" w:lineRule="auto"/>
        <w:ind w:left="720" w:hanging="720"/>
        <w:jc w:val="both"/>
      </w:pPr>
      <w:r>
        <w:rPr>
          <w:rFonts w:ascii="Times New Roman" w:hAnsi="Times New Roman"/>
          <w:sz w:val="24"/>
        </w:rPr>
        <w:t>Diviani, N., van den Putte, B., Giani, S., &amp; van Weert, J. C. (2015). Low health literacy and evaluation of online health information: A systematic review of the literature. Journal of Medical Internet Research, 17(5), e112. https://doi.org/10.2196/jmir.4018</w:t>
      </w:r>
    </w:p>
    <w:p>
      <w:pPr>
        <w:spacing w:line="360" w:lineRule="auto"/>
        <w:ind w:left="720" w:hanging="720"/>
        <w:jc w:val="both"/>
      </w:pPr>
      <w:r>
        <w:rPr>
          <w:rFonts w:ascii="Times New Roman" w:hAnsi="Times New Roman"/>
          <w:sz w:val="24"/>
        </w:rPr>
        <w:t>Drozd, B., Couvillon, E., &amp; Suarez, A. (2018). Medical YouTube videos and methods of evaluation: Literature review. JMIR Medical Education, 4(1), e3. https://doi.org/10.2196/mededu.8527</w:t>
      </w:r>
    </w:p>
    <w:p>
      <w:pPr>
        <w:spacing w:line="360" w:lineRule="auto"/>
        <w:ind w:left="720" w:hanging="720"/>
        <w:jc w:val="both"/>
      </w:pPr>
      <w:r>
        <w:rPr>
          <w:rFonts w:ascii="Times New Roman" w:hAnsi="Times New Roman"/>
          <w:sz w:val="24"/>
        </w:rPr>
        <w:t>Eysenbach, G., Powell, J., Kuss, O., &amp; Sa, E. R. (2002). Empirical studies assessing the quality of health information for consumers on the World Wide Web: A systematic review. JAMA, 287(20), 2691-2700. https://doi.org/10.1001/jama.287.20.2691</w:t>
      </w:r>
    </w:p>
    <w:p>
      <w:pPr>
        <w:spacing w:line="360" w:lineRule="auto"/>
        <w:ind w:left="720" w:hanging="720"/>
        <w:jc w:val="both"/>
      </w:pPr>
      <w:r>
        <w:rPr>
          <w:rFonts w:ascii="Times New Roman" w:hAnsi="Times New Roman"/>
          <w:sz w:val="24"/>
        </w:rPr>
        <w:t>Feinstein, A. R., &amp; Cicchetti, D. V. (1990). High agreement but low kappa: I. The problems of two paradoxes. Journal of Clinical Epidemiology, 43(6), 543-549. https://doi.org/10.1016/0895-4356(90)90158-L</w:t>
      </w:r>
    </w:p>
    <w:p>
      <w:pPr>
        <w:spacing w:line="360" w:lineRule="auto"/>
        <w:ind w:left="720" w:hanging="720"/>
        <w:jc w:val="both"/>
      </w:pPr>
      <w:r>
        <w:rPr>
          <w:rFonts w:ascii="Times New Roman" w:hAnsi="Times New Roman"/>
          <w:sz w:val="24"/>
        </w:rP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pPr>
        <w:spacing w:line="360" w:lineRule="auto"/>
        <w:ind w:left="720" w:hanging="720"/>
        <w:jc w:val="both"/>
      </w:pPr>
      <w:r>
        <w:rPr>
          <w:rFonts w:ascii="Times New Roman" w:hAnsi="Times New Roman"/>
          <w:sz w:val="24"/>
        </w:rPr>
        <w:t>Fox, S., &amp; Duggan, M. (2013). Health online 2013. Pew Internet and American Life Project. https://www.pewresearch.org/internet/2013/01/15/health-online-2013-2/</w:t>
      </w:r>
    </w:p>
    <w:p>
      <w:pPr>
        <w:spacing w:line="360" w:lineRule="auto"/>
        <w:ind w:left="720" w:hanging="720"/>
        <w:jc w:val="both"/>
      </w:pPr>
      <w:r>
        <w:rPr>
          <w:rFonts w:ascii="Times New Roman" w:hAnsi="Times New Roman"/>
          <w:sz w:val="24"/>
        </w:rPr>
        <w:t>Fritz, C. O., Morris, P. E., &amp; Richler, J. J. (2012). Effect size estimates: Current use, calculations, and interpretation. Journal of Experimental Psychology: General, 141(1), 2-18. https://doi.org/10.1037/a0024338</w:t>
      </w:r>
    </w:p>
    <w:p>
      <w:pPr>
        <w:spacing w:line="360" w:lineRule="auto"/>
        <w:ind w:left="720" w:hanging="720"/>
        <w:jc w:val="both"/>
      </w:pPr>
      <w:r>
        <w:rPr>
          <w:rFonts w:ascii="Times New Roman" w:hAnsi="Times New Roman"/>
          <w:sz w:val="24"/>
        </w:rPr>
        <w:t>Haghighi, R., &amp; Farhadloo, M. (2025). Quality assessment of health information on social media during a public health crisis: Infodemiology study. JMIR Infodemiology, 5, e70756. https://doi.org/10.2196/70756</w:t>
      </w:r>
    </w:p>
    <w:p>
      <w:pPr>
        <w:spacing w:line="360" w:lineRule="auto"/>
        <w:ind w:left="720" w:hanging="720"/>
        <w:jc w:val="both"/>
      </w:pPr>
      <w:r>
        <w:rPr>
          <w:rFonts w:ascii="Times New Roman" w:hAnsi="Times New Roman"/>
          <w:sz w:val="24"/>
        </w:rPr>
        <w:t>Kocyigit, B. F., Nacitarhan, V., Koca, T. T., &amp; Berk, E. (2019). YouTube as a source of patient information for ankylosing spondylitis exercises. Clinical Rheumatology, 38(6), 1747-1751. https://doi.org/10.1007/s10067-018-04413-0</w:t>
      </w:r>
    </w:p>
    <w:p>
      <w:pPr>
        <w:spacing w:line="360" w:lineRule="auto"/>
        <w:ind w:left="720" w:hanging="720"/>
        <w:jc w:val="both"/>
      </w:pPr>
      <w:r>
        <w:rPr>
          <w:rFonts w:ascii="Times New Roman" w:hAnsi="Times New Roman"/>
          <w:sz w:val="24"/>
        </w:rPr>
        <w:t>Kong, W., Song, S., Zhao, Y. C., Zhu, Q., &amp; Sha, L. (2021). TikTok as a health information source: Assessment of the quality of information in diabetes-related videos. Journal of Medical Internet Research, 23(9), e30409. https://doi.org/10.2196/30409</w:t>
      </w:r>
    </w:p>
    <w:p>
      <w:pPr>
        <w:spacing w:line="360" w:lineRule="auto"/>
        <w:ind w:left="720" w:hanging="720"/>
        <w:jc w:val="both"/>
      </w:pPr>
      <w:r>
        <w:rPr>
          <w:rFonts w:ascii="Times New Roman" w:hAnsi="Times New Roman"/>
          <w:sz w:val="24"/>
        </w:rPr>
        <w:t>Koo, T. K., &amp; Li, M. Y. (2016). A guideline of selecting and reporting intraclass correlation coefficients for reliability research. Journal of Chiropractic Medicine, 15(2), 155-163. https://doi.org/10.1016/j.jcm.2016.02.012</w:t>
      </w:r>
    </w:p>
    <w:p>
      <w:pPr>
        <w:spacing w:line="360" w:lineRule="auto"/>
        <w:ind w:left="720" w:hanging="720"/>
        <w:jc w:val="both"/>
      </w:pPr>
      <w:r>
        <w:rPr>
          <w:rFonts w:ascii="Times New Roman" w:hAnsi="Times New Roman"/>
          <w:sz w:val="24"/>
        </w:rPr>
        <w:t>Krippendorff, K. (2018). Content analysis: An introduction to its methodology (4th ed.). SAGE Publications.</w:t>
      </w:r>
    </w:p>
    <w:p>
      <w:pPr>
        <w:spacing w:line="360" w:lineRule="auto"/>
        <w:ind w:left="720" w:hanging="720"/>
        <w:jc w:val="both"/>
      </w:pPr>
      <w:r>
        <w:rPr>
          <w:rFonts w:ascii="Times New Roman" w:hAnsi="Times New Roman"/>
          <w:sz w:val="24"/>
        </w:rPr>
        <w:t>Landis, J. R., &amp; Koch, G. G. (1977). The measurement of observer agreement for categorical data. Biometrics, 33(1), 159-174. https://doi.org/10.2307/2529310</w:t>
      </w:r>
    </w:p>
    <w:p>
      <w:pPr>
        <w:spacing w:line="360" w:lineRule="auto"/>
        <w:ind w:left="720" w:hanging="720"/>
        <w:jc w:val="both"/>
      </w:pPr>
      <w:r>
        <w:rPr>
          <w:rFonts w:ascii="Times New Roman" w:hAnsi="Times New Roman"/>
          <w:sz w:val="24"/>
        </w:rPr>
        <w:t>Li, B., Liu, X., Zhang, Y., Wang, Y., &amp; Zheng, L. (2024). Quality assessment of health science-related short videos on TikTok: A scoping review. International Journal of Medical Informatics, 186, 105426. https://doi.org/10.1016/j.ijmedinf.2024.105426</w:t>
      </w:r>
    </w:p>
    <w:p>
      <w:pPr>
        <w:spacing w:line="360" w:lineRule="auto"/>
        <w:ind w:left="720" w:hanging="720"/>
        <w:jc w:val="both"/>
      </w:pPr>
      <w:r>
        <w:rPr>
          <w:rFonts w:ascii="Times New Roman" w:hAnsi="Times New Roman"/>
          <w:sz w:val="24"/>
        </w:rPr>
        <w:t>Liu, X.-J., Valdez, D., Parker, M. A., Mai, A., &amp; Walsh-Buhi, E. R. (2025). Quality of cancer-related information on new media (2014-2023): Systematic review and meta-analysis. Journal of Medical Internet Research, 27, e73185. https://doi.org/10.2196/73185</w:t>
      </w:r>
    </w:p>
    <w:p>
      <w:pPr>
        <w:spacing w:line="360" w:lineRule="auto"/>
        <w:ind w:left="720" w:hanging="720"/>
        <w:jc w:val="both"/>
      </w:pPr>
      <w:r>
        <w:rPr>
          <w:rFonts w:ascii="Times New Roman" w:hAnsi="Times New Roman"/>
          <w:sz w:val="24"/>
        </w:rPr>
        <w:t>Madathil, K. C., Rivera-Rodriguez, A. J., Greenstein, J. S., &amp; Gramopadhye, A. K. (2015). Healthcare information on YouTube: A systematic review. Health Informatics Journal, 21(3), 173-194. https://doi.org/10.1177/1460458213512220</w:t>
      </w:r>
    </w:p>
    <w:p>
      <w:pPr>
        <w:spacing w:line="360" w:lineRule="auto"/>
        <w:ind w:left="720" w:hanging="720"/>
        <w:jc w:val="both"/>
      </w:pPr>
      <w:r>
        <w:rPr>
          <w:rFonts w:ascii="Times New Roman" w:hAnsi="Times New Roman"/>
          <w:sz w:val="24"/>
        </w:rP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pPr>
        <w:spacing w:line="360" w:lineRule="auto"/>
        <w:ind w:left="720" w:hanging="720"/>
        <w:jc w:val="both"/>
      </w:pPr>
      <w:r>
        <w:rPr>
          <w:rFonts w:ascii="Times New Roman" w:hAnsi="Times New Roman"/>
          <w:sz w:val="24"/>
        </w:rPr>
        <w:t>McKinney, W. (2010). Data structures for statistical computing in Python. In S. van der Walt &amp; J. Millman (Eds.), Proceedings of the 9th Python in Science Conference (pp. 56-61). https://doi.org/10.25080/Majora-92bf1922-00a</w:t>
      </w:r>
    </w:p>
    <w:p>
      <w:pPr>
        <w:spacing w:line="360" w:lineRule="auto"/>
        <w:ind w:left="720" w:hanging="720"/>
        <w:jc w:val="both"/>
      </w:pPr>
      <w:r>
        <w:rPr>
          <w:rFonts w:ascii="Times New Roman" w:hAnsi="Times New Roman"/>
          <w:sz w:val="24"/>
        </w:rPr>
        <w:t>Mohamed, F., &amp; Shoufan, A. (2024). Users' experience with health-related content on YouTube: An exploratory study. BMC Public Health, 24, 86. https://doi.org/10.1186/s12889-023-17585-5</w:t>
      </w:r>
    </w:p>
    <w:p>
      <w:pPr>
        <w:spacing w:line="360" w:lineRule="auto"/>
        <w:ind w:left="720" w:hanging="720"/>
        <w:jc w:val="both"/>
      </w:pPr>
      <w:r>
        <w:rPr>
          <w:rFonts w:ascii="Times New Roman" w:hAnsi="Times New Roman"/>
          <w:sz w:val="24"/>
        </w:rP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pPr>
        <w:spacing w:line="360" w:lineRule="auto"/>
        <w:ind w:left="720" w:hanging="720"/>
        <w:jc w:val="both"/>
      </w:pPr>
      <w:r>
        <w:rPr>
          <w:rFonts w:ascii="Times New Roman" w:hAnsi="Times New Roman"/>
          <w:sz w:val="24"/>
        </w:rPr>
        <w:t>Norman, C. D., &amp; Skinner, H. A. (2006). eHEALS: The eHealth Literacy Scale. Journal of Medical Internet Research, 8(4), e27. https://doi.org/10.2196/jmir.8.4.e27</w:t>
      </w:r>
    </w:p>
    <w:p>
      <w:pPr>
        <w:spacing w:line="360" w:lineRule="auto"/>
        <w:ind w:left="720" w:hanging="720"/>
        <w:jc w:val="both"/>
      </w:pPr>
      <w:r>
        <w:rPr>
          <w:rFonts w:ascii="Times New Roman" w:hAnsi="Times New Roman"/>
          <w:sz w:val="24"/>
        </w:rPr>
        <w:t>Osman, W., Mohamed, F., Elhassan, M., &amp; Shoufan, A. (2022). Is YouTube a reliable source of health-related information? A systematic review. BMC Medical Education, 22, 382. https://doi.org/10.1186/s12909-022-03446-z</w:t>
      </w:r>
    </w:p>
    <w:p>
      <w:pPr>
        <w:spacing w:line="360" w:lineRule="auto"/>
        <w:ind w:left="720" w:hanging="720"/>
        <w:jc w:val="both"/>
      </w:pPr>
      <w:r>
        <w:rPr>
          <w:rFonts w:ascii="Times New Roman" w:hAnsi="Times New Roman"/>
          <w:sz w:val="24"/>
        </w:rPr>
        <w:t>Pan, B., Hembrooke, H., Joachims, T., Lorigo, L., Gay, G., &amp; Granka, L. (2007). In Google we trust: Users' decisions on rank, position, and relevance. Journal of Computer-Mediated Communication, 12(3), 801-823. https://doi.org/10.1111/j.1083-6101.2007.00351.x</w:t>
      </w:r>
    </w:p>
    <w:p>
      <w:pPr>
        <w:spacing w:line="360" w:lineRule="auto"/>
        <w:ind w:left="720" w:hanging="720"/>
        <w:jc w:val="both"/>
      </w:pPr>
      <w:r>
        <w:rPr>
          <w:rFonts w:ascii="Times New Roman" w:hAnsi="Times New Roman"/>
          <w:sz w:val="24"/>
        </w:rPr>
        <w:t>Pew Research Center. (2021). Social media use in 2021. https://www.pewresearch.org/internet/2021/04/07/social-media-use-in-2021/</w:t>
      </w:r>
    </w:p>
    <w:p>
      <w:pPr>
        <w:spacing w:line="360" w:lineRule="auto"/>
        <w:ind w:left="720" w:hanging="720"/>
        <w:jc w:val="both"/>
      </w:pPr>
      <w:r>
        <w:rPr>
          <w:rFonts w:ascii="Times New Roman" w:hAnsi="Times New Roman"/>
          <w:sz w:val="24"/>
        </w:rPr>
        <w:t>Pilgrim, K., &amp; Bohnet-Joschko, S. (2019). Selling health and happiness: How influencers communicate on Instagram about dieting and exercise. Mixed methods research. BMC Public Health, 19, 1054. https://doi.org/10.1186/s12889-019-7387-8</w:t>
      </w:r>
    </w:p>
    <w:p>
      <w:pPr>
        <w:spacing w:line="360" w:lineRule="auto"/>
        <w:ind w:left="720" w:hanging="720"/>
        <w:jc w:val="both"/>
      </w:pPr>
      <w:r>
        <w:rPr>
          <w:rFonts w:ascii="Times New Roman" w:hAnsi="Times New Roman"/>
          <w:sz w:val="24"/>
        </w:rPr>
        <w:t>Rodriguez-Rodriguez, A. M., Blanco-Diaz, M., de la Fuente-Costa, M., Hernandez-Sanchez, S., Escobio-Prieto, I., &amp; Casaña, J. (2022). Review of the quality of YouTube videos recommending exercises for the COVID-19 lockdown. International Journal of Environmental Research and Public Health, 19(13), 8016. https://doi.org/10.3390/ijerph19138016</w:t>
      </w:r>
    </w:p>
    <w:p>
      <w:pPr>
        <w:spacing w:line="360" w:lineRule="auto"/>
        <w:ind w:left="720" w:hanging="720"/>
        <w:jc w:val="both"/>
      </w:pPr>
      <w:r>
        <w:rPr>
          <w:rFonts w:ascii="Times New Roman" w:hAnsi="Times New Roman"/>
          <w:sz w:val="24"/>
        </w:rPr>
        <w:t>Rosenstock, I. M. (1974). Historical origins of the Health Belief Model. Health Education Monographs, 2(4), 328-335. https://doi.org/10.1177/109019817400200403</w:t>
      </w:r>
    </w:p>
    <w:p>
      <w:pPr>
        <w:spacing w:line="360" w:lineRule="auto"/>
        <w:ind w:left="720" w:hanging="720"/>
        <w:jc w:val="both"/>
      </w:pPr>
      <w:r>
        <w:rPr>
          <w:rFonts w:ascii="Times New Roman" w:hAnsi="Times New Roman"/>
          <w:sz w:val="24"/>
        </w:rPr>
        <w:t>Sbaffi, L., &amp; Rowley, J. (2017). Trust and credibility in web-based health information: A review and agenda for future research. Journal of Medical Internet Research, 19(6), e218. https://doi.org/10.2196/jmir.7579</w:t>
      </w:r>
    </w:p>
    <w:p>
      <w:pPr>
        <w:spacing w:line="360" w:lineRule="auto"/>
        <w:ind w:left="720" w:hanging="720"/>
        <w:jc w:val="both"/>
      </w:pPr>
      <w:r>
        <w:rPr>
          <w:rFonts w:ascii="Times New Roman" w:hAnsi="Times New Roman"/>
          <w:sz w:val="24"/>
        </w:rPr>
        <w:t>Schober, P., Boer, C., &amp; Schwarte, L. A. (2018). Correlation coefficients: Appropriate use and interpretation. Anesthesia &amp; Analgesia, 126(5), 1763-1768. https://doi.org/10.1213/ANE.0000000000002864</w:t>
      </w:r>
    </w:p>
    <w:p>
      <w:pPr>
        <w:spacing w:line="360" w:lineRule="auto"/>
        <w:ind w:left="720" w:hanging="720"/>
        <w:jc w:val="both"/>
      </w:pPr>
      <w:r>
        <w:rPr>
          <w:rFonts w:ascii="Times New Roman" w:hAnsi="Times New Roman"/>
          <w:sz w:val="24"/>
        </w:rPr>
        <w:t>Silberg, W. M., Lundberg, G. D., &amp; Musacchio, R. A. (1997). Assessing, controlling, and assuring the quality of medical information on the internet: Caveant lector et viewor-Let the reader and viewer beware. JAMA, 277(15), 1244-1245. https://doi.org/10.1001/jama.1997.03540390074039</w:t>
      </w:r>
    </w:p>
    <w:p>
      <w:pPr>
        <w:spacing w:line="360" w:lineRule="auto"/>
        <w:ind w:left="720" w:hanging="720"/>
        <w:jc w:val="both"/>
      </w:pPr>
      <w:r>
        <w:rPr>
          <w:rFonts w:ascii="Times New Roman" w:hAnsi="Times New Roman"/>
          <w:sz w:val="24"/>
        </w:rPr>
        <w:t>Snelson, C. L. (2016). Qualitative and mixed methods social media research: A review of the literature. International Journal of Qualitative Methods, 15(1), 1-15. https://doi.org/10.1177/1609406915624574</w:t>
      </w:r>
    </w:p>
    <w:p>
      <w:pPr>
        <w:spacing w:line="360" w:lineRule="auto"/>
        <w:ind w:left="720" w:hanging="720"/>
        <w:jc w:val="both"/>
      </w:pPr>
      <w:r>
        <w:rPr>
          <w:rFonts w:ascii="Times New Roman" w:hAnsi="Times New Roman"/>
          <w:sz w:val="24"/>
        </w:rPr>
        <w:t>Suarez-Lledo, V., &amp; Alvarez-Galvez, J. (2021). Prevalence of health misinformation on social media: Systematic review. Journal of Medical Internet Research, 23(1), e17187. https://doi.org/10.2196/17187</w:t>
      </w:r>
    </w:p>
    <w:p>
      <w:pPr>
        <w:spacing w:line="360" w:lineRule="auto"/>
        <w:ind w:left="720" w:hanging="720"/>
        <w:jc w:val="both"/>
      </w:pPr>
      <w:r>
        <w:rPr>
          <w:rFonts w:ascii="Times New Roman" w:hAnsi="Times New Roman"/>
          <w:sz w:val="24"/>
        </w:rPr>
        <w:t>Sullivan, G. M., &amp; Artino, A. R. (2013). Analyzing and interpreting data from Likert-type scales. Journal of Graduate Medical Education, 5(4), 541-542. https://doi.org/10.4300/JGME-5-4-18</w:t>
      </w:r>
    </w:p>
    <w:p>
      <w:pPr>
        <w:spacing w:line="360" w:lineRule="auto"/>
        <w:ind w:left="720" w:hanging="720"/>
        <w:jc w:val="both"/>
      </w:pPr>
      <w:r>
        <w:rPr>
          <w:rFonts w:ascii="Times New Roman" w:hAnsi="Times New Roman"/>
          <w:sz w:val="24"/>
        </w:rPr>
        <w:t>Sun, F., Zheng, S., &amp; Wu, J. (2023). Quality of information in gallstone disease videos on TikTok: Cross-sectional study. Journal of Medical Internet Research, 25, e39162. https://doi.org/10.2196/39162</w:t>
      </w:r>
    </w:p>
    <w:p>
      <w:pPr>
        <w:spacing w:line="360" w:lineRule="auto"/>
        <w:ind w:left="720" w:hanging="720"/>
        <w:jc w:val="both"/>
      </w:pPr>
      <w:r>
        <w:rPr>
          <w:rFonts w:ascii="Times New Roman" w:hAnsi="Times New Roman"/>
          <w:sz w:val="24"/>
        </w:rPr>
        <w:t>Swire-Thompson, B., &amp; Lazer, D. (2020). Public health and online misinformation: Challenges and recommendations. Annual Review of Public Health, 41, 433-451. https://doi.org/10.1146/annurev-publhealth-040119-094127</w:t>
      </w:r>
    </w:p>
    <w:p>
      <w:pPr>
        <w:spacing w:line="360" w:lineRule="auto"/>
        <w:ind w:left="720" w:hanging="720"/>
        <w:jc w:val="both"/>
      </w:pPr>
      <w:r>
        <w:rPr>
          <w:rFonts w:ascii="Times New Roman" w:hAnsi="Times New Roman"/>
          <w:sz w:val="24"/>
        </w:rPr>
        <w:t>Tan, S. S.-L., &amp; Goonawardene, N. (2017). Internet health information seeking and the patient-physician relationship: A systematic review. Journal of Medical Internet Research, 19(1), e9. https://doi.org/10.2196/jmir.5729</w:t>
      </w:r>
    </w:p>
    <w:p>
      <w:pPr>
        <w:spacing w:line="360" w:lineRule="auto"/>
        <w:ind w:left="720" w:hanging="720"/>
        <w:jc w:val="both"/>
      </w:pPr>
      <w:r>
        <w:rPr>
          <w:rFonts w:ascii="Times New Roman" w:hAnsi="Times New Roman"/>
          <w:sz w:val="24"/>
        </w:rPr>
        <w:t>Tomczak, M., &amp; Tomczak, E. (2014). The need to report effect size estimates revisited: An overview of some recommended measures of effect size. Trends in Sport Sciences, 21(1), 19-25.</w:t>
      </w:r>
    </w:p>
    <w:p>
      <w:pPr>
        <w:spacing w:line="360" w:lineRule="auto"/>
        <w:ind w:left="720" w:hanging="720"/>
        <w:jc w:val="both"/>
      </w:pPr>
      <w:r>
        <w:rPr>
          <w:rFonts w:ascii="Times New Roman" w:hAnsi="Times New Roman"/>
          <w:sz w:val="24"/>
        </w:rPr>
        <w:t>Tripodi, F. (2018). Searching for alternative facts: Analyzing scriptural inference in conservative news practices. Data &amp; Society Research Institute.</w:t>
      </w:r>
    </w:p>
    <w:p>
      <w:pPr>
        <w:spacing w:line="360" w:lineRule="auto"/>
        <w:ind w:left="720" w:hanging="720"/>
        <w:jc w:val="both"/>
      </w:pPr>
      <w:r>
        <w:rPr>
          <w:rFonts w:ascii="Times New Roman" w:hAnsi="Times New Roman"/>
          <w:sz w:val="24"/>
        </w:rPr>
        <w:t>Vallat, R. (2018). Pingouin: Statistics in Python. Journal of Open Source Software, 3(31), 1026. https://doi.org/10.21105/joss.01026</w:t>
      </w:r>
    </w:p>
    <w:p>
      <w:pPr>
        <w:spacing w:line="360" w:lineRule="auto"/>
        <w:ind w:left="720" w:hanging="720"/>
        <w:jc w:val="both"/>
      </w:pPr>
      <w:r>
        <w:rPr>
          <w:rFonts w:ascii="Times New Roman" w:hAnsi="Times New Roman"/>
          <w:sz w:val="24"/>
        </w:rP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pPr>
        <w:spacing w:line="360" w:lineRule="auto"/>
        <w:ind w:left="720" w:hanging="720"/>
        <w:jc w:val="both"/>
      </w:pPr>
      <w:r>
        <w:rPr>
          <w:rFonts w:ascii="Times New Roman" w:hAnsi="Times New Roman"/>
          <w:sz w:val="24"/>
        </w:rPr>
        <w:t>Wang, R. Y., &amp; Strong, D. M. (1996). Beyond accuracy: What data quality means to data consumers. Journal of Management Information Systems, 12(4), 5-33. https://doi.org/10.1080/07421222.1996.11518099</w:t>
      </w:r>
    </w:p>
    <w:p>
      <w:pPr>
        <w:spacing w:line="360" w:lineRule="auto"/>
        <w:ind w:left="720" w:hanging="720"/>
        <w:jc w:val="both"/>
      </w:pPr>
      <w:r>
        <w:rPr>
          <w:rFonts w:ascii="Times New Roman" w:hAnsi="Times New Roman"/>
          <w:sz w:val="24"/>
        </w:rPr>
        <w:t>World Health Organization. (2018). Global action plan on physical activity 2018-2030: More active people for a healthier world. World Health Organization. https://www.who.int/publications/i/item/9789241514187</w:t>
      </w:r>
    </w:p>
    <w:p>
      <w:pPr>
        <w:spacing w:line="360" w:lineRule="auto"/>
        <w:ind w:left="720" w:hanging="720"/>
        <w:jc w:val="both"/>
      </w:pPr>
      <w:r>
        <w:rPr>
          <w:rFonts w:ascii="Times New Roman" w:hAnsi="Times New Roman"/>
          <w:sz w:val="24"/>
        </w:rPr>
        <w:t>World Health Organization. (2020). WHO guidelines on physical activity and sedentary behaviour. World Health Organization. https://www.who.int/publications/i/item/9789240015128</w:t>
      </w:r>
    </w:p>
    <w:p>
      <w:pPr>
        <w:spacing w:line="360" w:lineRule="auto"/>
        <w:ind w:left="720" w:hanging="720"/>
        <w:jc w:val="both"/>
      </w:pPr>
      <w:r>
        <w:rPr>
          <w:rFonts w:ascii="Times New Roman" w:hAnsi="Times New Roman"/>
          <w:sz w:val="24"/>
        </w:rPr>
        <w:t>World Health Organization. (2021). Health promotion glossary of terms 2021. World Health Organization. https://www.who.int/publications/i/item/9789240038349</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