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240" w:before="0"/>
        <w:jc w:val="both"/>
      </w:pPr>
      <w:r>
        <w:rPr>
          <w:rFonts w:ascii="Times New Roman" w:hAnsi="Times New Roman" w:cs="Times New Roman"/>
          <w:b/>
          <w:i w:val="0"/>
          <w:color w:val="000000"/>
          <w:sz w:val="28"/>
        </w:rPr>
        <w:t>CHAPTER 3. RESEARCH FINDINGS</w:t>
      </w:r>
    </w:p>
    <w:p>
      <w:pPr>
        <w:pStyle w:val="Heading2"/>
        <w:spacing w:line="360" w:lineRule="auto" w:after="200" w:before="0"/>
        <w:jc w:val="both"/>
      </w:pPr>
      <w:r>
        <w:rPr>
          <w:rFonts w:ascii="Times New Roman" w:hAnsi="Times New Roman" w:cs="Times New Roman"/>
          <w:b/>
          <w:i w:val="0"/>
          <w:color w:val="000000"/>
          <w:sz w:val="26"/>
        </w:rPr>
        <w:t>3.1 Sample Characteristics</w:t>
      </w:r>
    </w:p>
    <w:p>
      <w:pPr>
        <w:spacing w:line="360" w:lineRule="auto" w:after="120" w:before="0"/>
        <w:jc w:val="both"/>
      </w:pPr>
      <w:r>
        <w:rPr>
          <w:rFonts w:ascii="Times New Roman" w:hAnsi="Times New Roman" w:cs="Times New Roman"/>
          <w:b w:val="0"/>
          <w:i w:val="0"/>
          <w:color w:val="000000"/>
          <w:sz w:val="24"/>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past three years.</w:t>
      </w:r>
    </w:p>
    <w:p>
      <w:pPr>
        <w:spacing w:line="360" w:lineRule="auto" w:after="120" w:before="0"/>
        <w:jc w:val="both"/>
      </w:pPr>
      <w:r>
        <w:rPr>
          <w:rFonts w:ascii="Times New Roman" w:hAnsi="Times New Roman" w:cs="Times New Roman"/>
          <w:b w:val="0"/>
          <w:i w:val="0"/>
          <w:color w:val="000000"/>
          <w:sz w:val="24"/>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TikTok was characterised by greater diversity in creator types, with the highest proportions of fitness influencers (n = 19, 40.4%) and general users (n = 9, 19.1%).</w:t>
      </w:r>
    </w:p>
    <w:p>
      <w:pPr>
        <w:spacing w:line="360" w:lineRule="auto" w:after="80" w:before="0"/>
        <w:jc w:val="center"/>
      </w:pPr>
      <w:r>
        <w:rPr>
          <w:rFonts w:ascii="Times New Roman" w:hAnsi="Times New Roman" w:cs="Times New Roman"/>
          <w:b/>
          <w:i/>
          <w:color w:val="000000"/>
          <w:sz w:val="22"/>
        </w:rPr>
        <w:t>Table 1. Distribution of Creator Types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Creator Type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Healthcare Professional</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8 (17%)</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19 (9.6%)</w:t>
            </w:r>
          </w:p>
        </w:tc>
      </w:tr>
      <w:tr>
        <w:tc>
          <w:tcPr>
            <w:tcW w:type="dxa" w:w="1504"/>
          </w:tcPr>
          <w:p>
            <w:pPr>
              <w:spacing w:line="240" w:lineRule="auto" w:after="40" w:before="0"/>
              <w:jc w:val="center"/>
            </w:pPr>
            <w:r>
              <w:rPr>
                <w:rFonts w:ascii="Times New Roman" w:hAnsi="Times New Roman" w:cs="Times New Roman"/>
                <w:b w:val="0"/>
                <w:i w:val="0"/>
                <w:color w:val="000000"/>
                <w:sz w:val="20"/>
              </w:rPr>
              <w:t>Certified Fitness Prof.</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6 (13%)</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32 (16.2%)</w:t>
            </w:r>
          </w:p>
        </w:tc>
      </w:tr>
      <w:tr>
        <w:tc>
          <w:tcPr>
            <w:tcW w:type="dxa" w:w="1504"/>
          </w:tcPr>
          <w:p>
            <w:pPr>
              <w:spacing w:line="240" w:lineRule="auto" w:after="40" w:before="0"/>
              <w:jc w:val="center"/>
            </w:pPr>
            <w:r>
              <w:rPr>
                <w:rFonts w:ascii="Times New Roman" w:hAnsi="Times New Roman" w:cs="Times New Roman"/>
                <w:b w:val="0"/>
                <w:i w:val="0"/>
                <w:color w:val="000000"/>
                <w:sz w:val="20"/>
              </w:rPr>
              <w:t>Fitness Influencer</w:t>
            </w:r>
          </w:p>
        </w:tc>
        <w:tc>
          <w:tcPr>
            <w:tcW w:type="dxa" w:w="1504"/>
          </w:tcPr>
          <w:p>
            <w:pPr>
              <w:spacing w:line="240" w:lineRule="auto" w:after="40" w:before="0"/>
              <w:jc w:val="center"/>
            </w:pPr>
            <w:r>
              <w:rPr>
                <w:rFonts w:ascii="Times New Roman" w:hAnsi="Times New Roman" w:cs="Times New Roman"/>
                <w:b w:val="0"/>
                <w:i w:val="0"/>
                <w:color w:val="000000"/>
                <w:sz w:val="20"/>
              </w:rPr>
              <w:t>0 (0%)</w:t>
            </w:r>
          </w:p>
        </w:tc>
        <w:tc>
          <w:tcPr>
            <w:tcW w:type="dxa" w:w="1504"/>
          </w:tcPr>
          <w:p>
            <w:pPr>
              <w:spacing w:line="240" w:lineRule="auto" w:after="40" w:before="0"/>
              <w:jc w:val="center"/>
            </w:pPr>
            <w:r>
              <w:rPr>
                <w:rFonts w:ascii="Times New Roman" w:hAnsi="Times New Roman" w:cs="Times New Roman"/>
                <w:b w:val="0"/>
                <w:i w:val="0"/>
                <w:color w:val="000000"/>
                <w:sz w:val="20"/>
              </w:rPr>
              <w:t>16 (32%)</w:t>
            </w:r>
          </w:p>
        </w:tc>
        <w:tc>
          <w:tcPr>
            <w:tcW w:type="dxa" w:w="1504"/>
          </w:tcPr>
          <w:p>
            <w:pPr>
              <w:spacing w:line="240" w:lineRule="auto" w:after="40" w:before="0"/>
              <w:jc w:val="center"/>
            </w:pPr>
            <w:r>
              <w:rPr>
                <w:rFonts w:ascii="Times New Roman" w:hAnsi="Times New Roman" w:cs="Times New Roman"/>
                <w:b w:val="0"/>
                <w:i w:val="0"/>
                <w:color w:val="000000"/>
                <w:sz w:val="20"/>
              </w:rPr>
              <w:t>19 (40%)</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38 (19.3%)</w:t>
            </w:r>
          </w:p>
        </w:tc>
      </w:tr>
      <w:tr>
        <w:tc>
          <w:tcPr>
            <w:tcW w:type="dxa" w:w="1504"/>
          </w:tcPr>
          <w:p>
            <w:pPr>
              <w:spacing w:line="240" w:lineRule="auto" w:after="40" w:before="0"/>
              <w:jc w:val="center"/>
            </w:pPr>
            <w:r>
              <w:rPr>
                <w:rFonts w:ascii="Times New Roman" w:hAnsi="Times New Roman" w:cs="Times New Roman"/>
                <w:b w:val="0"/>
                <w:i w:val="0"/>
                <w:color w:val="000000"/>
                <w:sz w:val="20"/>
              </w:rPr>
              <w:t>General User</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9 (19%)</w:t>
            </w:r>
          </w:p>
        </w:tc>
        <w:tc>
          <w:tcPr>
            <w:tcW w:type="dxa" w:w="1504"/>
          </w:tcPr>
          <w:p>
            <w:pPr>
              <w:spacing w:line="240" w:lineRule="auto" w:after="40" w:before="0"/>
              <w:jc w:val="center"/>
            </w:pPr>
            <w:r>
              <w:rPr>
                <w:rFonts w:ascii="Times New Roman" w:hAnsi="Times New Roman" w:cs="Times New Roman"/>
                <w:b w:val="0"/>
                <w:i w:val="0"/>
                <w:color w:val="000000"/>
                <w:sz w:val="20"/>
              </w:rPr>
              <w:t>7 (14%)</w:t>
            </w:r>
          </w:p>
        </w:tc>
        <w:tc>
          <w:tcPr>
            <w:tcW w:type="dxa" w:w="1504"/>
          </w:tcPr>
          <w:p>
            <w:pPr>
              <w:spacing w:line="240" w:lineRule="auto" w:after="40" w:before="0"/>
              <w:jc w:val="center"/>
            </w:pPr>
            <w:r>
              <w:rPr>
                <w:rFonts w:ascii="Times New Roman" w:hAnsi="Times New Roman" w:cs="Times New Roman"/>
                <w:b w:val="0"/>
                <w:i w:val="0"/>
                <w:color w:val="000000"/>
                <w:sz w:val="20"/>
              </w:rPr>
              <w:t>24 (12.2%)</w:t>
            </w:r>
          </w:p>
        </w:tc>
      </w:tr>
      <w:tr>
        <w:tc>
          <w:tcPr>
            <w:tcW w:type="dxa" w:w="1504"/>
          </w:tcPr>
          <w:p>
            <w:pPr>
              <w:spacing w:line="240" w:lineRule="auto" w:after="40" w:before="0"/>
              <w:jc w:val="center"/>
            </w:pPr>
            <w:r>
              <w:rPr>
                <w:rFonts w:ascii="Times New Roman" w:hAnsi="Times New Roman" w:cs="Times New Roman"/>
                <w:b w:val="0"/>
                <w:i w:val="0"/>
                <w:color w:val="000000"/>
                <w:sz w:val="20"/>
              </w:rPr>
              <w:t>Organisation</w:t>
            </w:r>
          </w:p>
        </w:tc>
        <w:tc>
          <w:tcPr>
            <w:tcW w:type="dxa" w:w="1504"/>
          </w:tcPr>
          <w:p>
            <w:pPr>
              <w:spacing w:line="240" w:lineRule="auto" w:after="40" w:before="0"/>
              <w:jc w:val="center"/>
            </w:pPr>
            <w:r>
              <w:rPr>
                <w:rFonts w:ascii="Times New Roman" w:hAnsi="Times New Roman" w:cs="Times New Roman"/>
                <w:b w:val="0"/>
                <w:i w:val="0"/>
                <w:color w:val="000000"/>
                <w:sz w:val="20"/>
              </w:rPr>
              <w:t>36 (72%)</w:t>
            </w:r>
          </w:p>
        </w:tc>
        <w:tc>
          <w:tcPr>
            <w:tcW w:type="dxa" w:w="1504"/>
          </w:tcPr>
          <w:p>
            <w:pPr>
              <w:spacing w:line="240" w:lineRule="auto" w:after="40" w:before="0"/>
              <w:jc w:val="center"/>
            </w:pPr>
            <w:r>
              <w:rPr>
                <w:rFonts w:ascii="Times New Roman" w:hAnsi="Times New Roman" w:cs="Times New Roman"/>
                <w:b w:val="0"/>
                <w:i w:val="0"/>
                <w:color w:val="000000"/>
                <w:sz w:val="20"/>
              </w:rPr>
              <w:t>14 (28%)</w:t>
            </w:r>
          </w:p>
        </w:tc>
        <w:tc>
          <w:tcPr>
            <w:tcW w:type="dxa" w:w="1504"/>
          </w:tcPr>
          <w:p>
            <w:pPr>
              <w:spacing w:line="240" w:lineRule="auto" w:after="40" w:before="0"/>
              <w:jc w:val="center"/>
            </w:pPr>
            <w:r>
              <w:rPr>
                <w:rFonts w:ascii="Times New Roman" w:hAnsi="Times New Roman" w:cs="Times New Roman"/>
                <w:b w:val="0"/>
                <w:i w:val="0"/>
                <w:color w:val="000000"/>
                <w:sz w:val="20"/>
              </w:rPr>
              <w:t>5 (11%)</w:t>
            </w:r>
          </w:p>
        </w:tc>
        <w:tc>
          <w:tcPr>
            <w:tcW w:type="dxa" w:w="1504"/>
          </w:tcPr>
          <w:p>
            <w:pPr>
              <w:spacing w:line="240" w:lineRule="auto" w:after="40" w:before="0"/>
              <w:jc w:val="center"/>
            </w:pPr>
            <w:r>
              <w:rPr>
                <w:rFonts w:ascii="Times New Roman" w:hAnsi="Times New Roman" w:cs="Times New Roman"/>
                <w:b w:val="0"/>
                <w:i w:val="0"/>
                <w:color w:val="000000"/>
                <w:sz w:val="20"/>
              </w:rPr>
              <w:t>29 (58%)</w:t>
            </w:r>
          </w:p>
        </w:tc>
        <w:tc>
          <w:tcPr>
            <w:tcW w:type="dxa" w:w="1504"/>
          </w:tcPr>
          <w:p>
            <w:pPr>
              <w:spacing w:line="240" w:lineRule="auto" w:after="40" w:before="0"/>
              <w:jc w:val="center"/>
            </w:pPr>
            <w:r>
              <w:rPr>
                <w:rFonts w:ascii="Times New Roman" w:hAnsi="Times New Roman" w:cs="Times New Roman"/>
                <w:b w:val="0"/>
                <w:i w:val="0"/>
                <w:color w:val="000000"/>
                <w:sz w:val="20"/>
              </w:rPr>
              <w:t>84 (42.6%)</w:t>
            </w:r>
          </w:p>
        </w:tc>
      </w:tr>
      <w:tr>
        <w:tc>
          <w:tcPr>
            <w:tcW w:type="dxa" w:w="1504"/>
          </w:tcPr>
          <w:p>
            <w:pPr>
              <w:spacing w:line="240" w:lineRule="auto" w:after="40" w:before="0"/>
              <w:jc w:val="center"/>
            </w:pPr>
            <w:r>
              <w:rPr>
                <w:rFonts w:ascii="Times New Roman" w:hAnsi="Times New Roman" w:cs="Times New Roman"/>
                <w:b w:val="0"/>
                <w:i w:val="0"/>
                <w:color w:val="000000"/>
                <w:sz w:val="20"/>
              </w:rPr>
              <w:t>Total</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47</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197</w:t>
            </w:r>
          </w:p>
        </w:tc>
      </w:tr>
    </w:tbl>
    <w:p>
      <w:pPr>
        <w:spacing w:line="360" w:lineRule="auto" w:after="120" w:before="0"/>
        <w:jc w:val="both"/>
      </w:pPr>
      <w:r>
        <w:rPr>
          <w:rFonts w:ascii="Times New Roman" w:hAnsi="Times New Roman" w:cs="Times New Roman"/>
          <w:b w:val="0"/>
          <w:i w:val="0"/>
          <w:color w:val="000000"/>
          <w:sz w:val="24"/>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format means that content format and platform are perfectly confounded in this dataset; format differences in quality scores therefore reflect platform differences and cannot be attributed to format independently of platform.</w:t>
      </w:r>
    </w:p>
    <w:p>
      <w:pPr>
        <w:spacing w:line="360" w:lineRule="auto" w:after="80" w:before="0"/>
        <w:jc w:val="center"/>
      </w:pPr>
      <w:r>
        <w:rPr>
          <w:rFonts w:ascii="Times New Roman" w:hAnsi="Times New Roman" w:cs="Times New Roman"/>
          <w:b/>
          <w:i/>
          <w:color w:val="000000"/>
          <w:sz w:val="22"/>
        </w:rPr>
        <w:t>Table 2. Distribution of Content Formats by Platform</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Content Format</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n (%)</w:t>
            </w:r>
          </w:p>
        </w:tc>
      </w:tr>
      <w:tr>
        <w:tc>
          <w:tcPr>
            <w:tcW w:type="dxa" w:w="3009"/>
          </w:tcPr>
          <w:p>
            <w:pPr>
              <w:spacing w:line="240" w:lineRule="auto" w:after="40" w:before="0"/>
              <w:jc w:val="center"/>
            </w:pPr>
            <w:r>
              <w:rPr>
                <w:rFonts w:ascii="Times New Roman" w:hAnsi="Times New Roman" w:cs="Times New Roman"/>
                <w:b w:val="0"/>
                <w:i w:val="0"/>
                <w:color w:val="000000"/>
                <w:sz w:val="20"/>
              </w:rPr>
              <w:t>Website</w:t>
            </w:r>
          </w:p>
        </w:tc>
        <w:tc>
          <w:tcPr>
            <w:tcW w:type="dxa" w:w="3009"/>
          </w:tcPr>
          <w:p>
            <w:pPr>
              <w:spacing w:line="240" w:lineRule="auto" w:after="40" w:before="0"/>
              <w:jc w:val="center"/>
            </w:pPr>
            <w:r>
              <w:rPr>
                <w:rFonts w:ascii="Times New Roman" w:hAnsi="Times New Roman" w:cs="Times New Roman"/>
                <w:b w:val="0"/>
                <w:i w:val="0"/>
                <w:color w:val="000000"/>
                <w:sz w:val="20"/>
              </w:rPr>
              <w:t>Text Article</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r>
        <w:tc>
          <w:tcPr>
            <w:tcW w:type="dxa" w:w="3009"/>
          </w:tcPr>
          <w:p>
            <w:pPr>
              <w:spacing w:line="240" w:lineRule="auto" w:after="40" w:before="0"/>
              <w:jc w:val="center"/>
            </w:pPr>
            <w:r>
              <w:rPr>
                <w:rFonts w:ascii="Times New Roman" w:hAnsi="Times New Roman" w:cs="Times New Roman"/>
                <w:b w:val="0"/>
                <w:i w:val="0"/>
                <w:color w:val="000000"/>
                <w:sz w:val="20"/>
              </w:rPr>
              <w:t>YouTube</w:t>
            </w:r>
          </w:p>
        </w:tc>
        <w:tc>
          <w:tcPr>
            <w:tcW w:type="dxa" w:w="3009"/>
          </w:tcPr>
          <w:p>
            <w:pPr>
              <w:spacing w:line="240" w:lineRule="auto" w:after="40" w:before="0"/>
              <w:jc w:val="center"/>
            </w:pPr>
            <w:r>
              <w:rPr>
                <w:rFonts w:ascii="Times New Roman" w:hAnsi="Times New Roman" w:cs="Times New Roman"/>
                <w:b w:val="0"/>
                <w:i w:val="0"/>
                <w:color w:val="000000"/>
                <w:sz w:val="20"/>
              </w:rPr>
              <w:t>Long Video (&gt;5 min)</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r>
        <w:tc>
          <w:tcPr>
            <w:tcW w:type="dxa" w:w="3009"/>
          </w:tcPr>
          <w:p>
            <w:pPr>
              <w:spacing w:line="240" w:lineRule="auto" w:after="40" w:before="0"/>
              <w:jc w:val="center"/>
            </w:pPr>
            <w:r>
              <w:rPr>
                <w:rFonts w:ascii="Times New Roman" w:hAnsi="Times New Roman" w:cs="Times New Roman"/>
                <w:b w:val="0"/>
                <w:i w:val="0"/>
                <w:color w:val="000000"/>
                <w:sz w:val="20"/>
              </w:rPr>
              <w:t>TikTok</w:t>
            </w:r>
          </w:p>
        </w:tc>
        <w:tc>
          <w:tcPr>
            <w:tcW w:type="dxa" w:w="3009"/>
          </w:tcPr>
          <w:p>
            <w:pPr>
              <w:spacing w:line="240" w:lineRule="auto" w:after="40" w:before="0"/>
              <w:jc w:val="center"/>
            </w:pPr>
            <w:r>
              <w:rPr>
                <w:rFonts w:ascii="Times New Roman" w:hAnsi="Times New Roman" w:cs="Times New Roman"/>
                <w:b w:val="0"/>
                <w:i w:val="0"/>
                <w:color w:val="000000"/>
                <w:sz w:val="20"/>
              </w:rPr>
              <w:t>Short Video (&lt;60 s)</w:t>
            </w:r>
          </w:p>
        </w:tc>
        <w:tc>
          <w:tcPr>
            <w:tcW w:type="dxa" w:w="3009"/>
          </w:tcPr>
          <w:p>
            <w:pPr>
              <w:spacing w:line="240" w:lineRule="auto" w:after="40" w:before="0"/>
              <w:jc w:val="center"/>
            </w:pPr>
            <w:r>
              <w:rPr>
                <w:rFonts w:ascii="Times New Roman" w:hAnsi="Times New Roman" w:cs="Times New Roman"/>
                <w:b w:val="0"/>
                <w:i w:val="0"/>
                <w:color w:val="000000"/>
                <w:sz w:val="20"/>
              </w:rPr>
              <w:t>47 (100%)</w:t>
            </w:r>
          </w:p>
        </w:tc>
      </w:tr>
      <w:tr>
        <w:tc>
          <w:tcPr>
            <w:tcW w:type="dxa" w:w="3009"/>
          </w:tcPr>
          <w:p>
            <w:pPr>
              <w:spacing w:line="240" w:lineRule="auto" w:after="40" w:before="0"/>
              <w:jc w:val="center"/>
            </w:pPr>
            <w:r>
              <w:rPr>
                <w:rFonts w:ascii="Times New Roman" w:hAnsi="Times New Roman" w:cs="Times New Roman"/>
                <w:b w:val="0"/>
                <w:i w:val="0"/>
                <w:color w:val="000000"/>
                <w:sz w:val="20"/>
              </w:rPr>
              <w:t>Instagram</w:t>
            </w:r>
          </w:p>
        </w:tc>
        <w:tc>
          <w:tcPr>
            <w:tcW w:type="dxa" w:w="3009"/>
          </w:tcPr>
          <w:p>
            <w:pPr>
              <w:spacing w:line="240" w:lineRule="auto" w:after="40" w:before="0"/>
              <w:jc w:val="center"/>
            </w:pPr>
            <w:r>
              <w:rPr>
                <w:rFonts w:ascii="Times New Roman" w:hAnsi="Times New Roman" w:cs="Times New Roman"/>
                <w:b w:val="0"/>
                <w:i w:val="0"/>
                <w:color w:val="000000"/>
                <w:sz w:val="20"/>
              </w:rPr>
              <w:t>Carousel</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bl>
    <w:p>
      <w:pPr>
        <w:pStyle w:val="Heading2"/>
        <w:spacing w:line="360" w:lineRule="auto" w:after="200" w:before="0"/>
        <w:jc w:val="both"/>
      </w:pPr>
      <w:r>
        <w:rPr>
          <w:rFonts w:ascii="Times New Roman" w:hAnsi="Times New Roman" w:cs="Times New Roman"/>
          <w:b/>
          <w:i w:val="0"/>
          <w:color w:val="000000"/>
          <w:sz w:val="26"/>
        </w:rPr>
        <w:t>3.2 Inter-Rater Reliability</w:t>
      </w:r>
    </w:p>
    <w:p>
      <w:pPr>
        <w:spacing w:line="360" w:lineRule="auto" w:after="120" w:before="0"/>
        <w:jc w:val="both"/>
      </w:pPr>
      <w:r>
        <w:rPr>
          <w:rFonts w:ascii="Times New Roman" w:hAnsi="Times New Roman" w:cs="Times New Roman"/>
          <w:b w:val="0"/>
          <w:i w:val="0"/>
          <w:color w:val="000000"/>
          <w:sz w:val="24"/>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pPr>
        <w:spacing w:line="360" w:lineRule="auto" w:after="120" w:before="0"/>
        <w:jc w:val="both"/>
      </w:pPr>
      <w:r>
        <w:rPr>
          <w:rFonts w:ascii="Times New Roman" w:hAnsi="Times New Roman" w:cs="Times New Roman"/>
          <w:b w:val="0"/>
          <w:i w:val="0"/>
          <w:color w:val="000000"/>
          <w:sz w:val="24"/>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pPr>
        <w:pStyle w:val="Heading2"/>
        <w:spacing w:line="360" w:lineRule="auto" w:after="200" w:before="0"/>
        <w:jc w:val="both"/>
      </w:pPr>
      <w:r>
        <w:rPr>
          <w:rFonts w:ascii="Times New Roman" w:hAnsi="Times New Roman" w:cs="Times New Roman"/>
          <w:b/>
          <w:i w:val="0"/>
          <w:color w:val="000000"/>
          <w:sz w:val="26"/>
        </w:rPr>
        <w:t>3.3 DISCERN Scores by Platform</w:t>
      </w:r>
    </w:p>
    <w:p>
      <w:pPr>
        <w:spacing w:line="360" w:lineRule="auto" w:after="120" w:before="0"/>
        <w:jc w:val="both"/>
      </w:pPr>
      <w:r>
        <w:rPr>
          <w:rFonts w:ascii="Times New Roman" w:hAnsi="Times New Roman" w:cs="Times New Roman"/>
          <w:b w:val="0"/>
          <w:i w:val="0"/>
          <w:color w:val="000000"/>
          <w:sz w:val="24"/>
        </w:rPr>
        <w:t>Descriptive statistics for DISCERN total scores by platform are presented in Table 3. The overall sample mean was 38.68 (SD = 10.16), with a median of 38.0 (range: 17â€“64). Traditional websites achieved the highest median score (Mdn = 48.5, IQR = 9.75), followed by YouTube (Mdn = 42.0, IQR = 9.00), TikTok (Mdn = 35.0, IQR = 8.00), and Instagram (Mdn = 27.5, IQR = 9.00). Using commonly adopted thresholds from subsequent DISCERN literature (16â€“26 = very poor, 27â€“38 = poor, 39â€“50 = fair, 51â€“62 = good, 63â€“80 = excellent), the modal category for websites was 'fair' (44%), for YouTube 'fair' (48%), for TikTok 'poor' (55.3%), and for Instagram 'poor' (50%). Notably, 42% of Instagram items scored in the 'very poor' range, compared with 0% for both websites and YouTube.</w:t>
      </w:r>
    </w:p>
    <w:p>
      <w:pPr>
        <w:spacing w:line="360" w:lineRule="auto" w:after="80" w:before="0"/>
        <w:jc w:val="center"/>
      </w:pPr>
      <w:r>
        <w:rPr>
          <w:rFonts w:ascii="Times New Roman" w:hAnsi="Times New Roman" w:cs="Times New Roman"/>
          <w:b/>
          <w:i/>
          <w:color w:val="000000"/>
          <w:sz w:val="22"/>
        </w:rPr>
        <w:t>Table 3. DISCERN Total Scores by Platform</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SD</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Q1</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Q3</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Min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Max</w:t>
            </w:r>
          </w:p>
        </w:tc>
      </w:tr>
      <w:tr>
        <w:tc>
          <w:tcPr>
            <w:tcW w:type="dxa" w:w="1003"/>
          </w:tcPr>
          <w:p>
            <w:pPr>
              <w:spacing w:line="240" w:lineRule="auto" w:after="40" w:before="0"/>
              <w:jc w:val="center"/>
            </w:pPr>
            <w:r>
              <w:rPr>
                <w:rFonts w:ascii="Times New Roman" w:hAnsi="Times New Roman" w:cs="Times New Roman"/>
                <w:b w:val="0"/>
                <w:i w:val="0"/>
                <w:color w:val="000000"/>
                <w:sz w:val="20"/>
              </w:rPr>
              <w:t>Website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47.02</w:t>
            </w:r>
          </w:p>
        </w:tc>
        <w:tc>
          <w:tcPr>
            <w:tcW w:type="dxa" w:w="1003"/>
          </w:tcPr>
          <w:p>
            <w:pPr>
              <w:spacing w:line="240" w:lineRule="auto" w:after="40" w:before="0"/>
              <w:jc w:val="center"/>
            </w:pPr>
            <w:r>
              <w:rPr>
                <w:rFonts w:ascii="Times New Roman" w:hAnsi="Times New Roman" w:cs="Times New Roman"/>
                <w:b w:val="0"/>
                <w:i w:val="0"/>
                <w:color w:val="000000"/>
                <w:sz w:val="20"/>
              </w:rPr>
              <w:t>7.90</w:t>
            </w:r>
          </w:p>
        </w:tc>
        <w:tc>
          <w:tcPr>
            <w:tcW w:type="dxa" w:w="1003"/>
          </w:tcPr>
          <w:p>
            <w:pPr>
              <w:spacing w:line="240" w:lineRule="auto" w:after="40" w:before="0"/>
              <w:jc w:val="center"/>
            </w:pPr>
            <w:r>
              <w:rPr>
                <w:rFonts w:ascii="Times New Roman" w:hAnsi="Times New Roman" w:cs="Times New Roman"/>
                <w:b w:val="0"/>
                <w:i w:val="0"/>
                <w:color w:val="000000"/>
                <w:sz w:val="20"/>
              </w:rPr>
              <w:t>48.5</w:t>
            </w:r>
          </w:p>
        </w:tc>
        <w:tc>
          <w:tcPr>
            <w:tcW w:type="dxa" w:w="1003"/>
          </w:tcPr>
          <w:p>
            <w:pPr>
              <w:spacing w:line="240" w:lineRule="auto" w:after="40" w:before="0"/>
              <w:jc w:val="center"/>
            </w:pPr>
            <w:r>
              <w:rPr>
                <w:rFonts w:ascii="Times New Roman" w:hAnsi="Times New Roman" w:cs="Times New Roman"/>
                <w:b w:val="0"/>
                <w:i w:val="0"/>
                <w:color w:val="000000"/>
                <w:sz w:val="20"/>
              </w:rPr>
              <w:t>43.00</w:t>
            </w:r>
          </w:p>
        </w:tc>
        <w:tc>
          <w:tcPr>
            <w:tcW w:type="dxa" w:w="1003"/>
          </w:tcPr>
          <w:p>
            <w:pPr>
              <w:spacing w:line="240" w:lineRule="auto" w:after="40" w:before="0"/>
              <w:jc w:val="center"/>
            </w:pPr>
            <w:r>
              <w:rPr>
                <w:rFonts w:ascii="Times New Roman" w:hAnsi="Times New Roman" w:cs="Times New Roman"/>
                <w:b w:val="0"/>
                <w:i w:val="0"/>
                <w:color w:val="000000"/>
                <w:sz w:val="20"/>
              </w:rPr>
              <w:t>52.75</w:t>
            </w:r>
          </w:p>
        </w:tc>
        <w:tc>
          <w:tcPr>
            <w:tcW w:type="dxa" w:w="1003"/>
          </w:tcPr>
          <w:p>
            <w:pPr>
              <w:spacing w:line="240" w:lineRule="auto" w:after="40" w:before="0"/>
              <w:jc w:val="center"/>
            </w:pPr>
            <w:r>
              <w:rPr>
                <w:rFonts w:ascii="Times New Roman" w:hAnsi="Times New Roman" w:cs="Times New Roman"/>
                <w:b w:val="0"/>
                <w:i w:val="0"/>
                <w:color w:val="000000"/>
                <w:sz w:val="20"/>
              </w:rPr>
              <w:t>28</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r>
        <w:tc>
          <w:tcPr>
            <w:tcW w:type="dxa" w:w="1003"/>
          </w:tcPr>
          <w:p>
            <w:pPr>
              <w:spacing w:line="240" w:lineRule="auto" w:after="40" w:before="0"/>
              <w:jc w:val="center"/>
            </w:pPr>
            <w:r>
              <w:rPr>
                <w:rFonts w:ascii="Times New Roman" w:hAnsi="Times New Roman" w:cs="Times New Roman"/>
                <w:b w:val="0"/>
                <w:i w:val="0"/>
                <w:color w:val="000000"/>
                <w:sz w:val="20"/>
              </w:rPr>
              <w:t>YouTube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42.88</w:t>
            </w:r>
          </w:p>
        </w:tc>
        <w:tc>
          <w:tcPr>
            <w:tcW w:type="dxa" w:w="1003"/>
          </w:tcPr>
          <w:p>
            <w:pPr>
              <w:spacing w:line="240" w:lineRule="auto" w:after="40" w:before="0"/>
              <w:jc w:val="center"/>
            </w:pPr>
            <w:r>
              <w:rPr>
                <w:rFonts w:ascii="Times New Roman" w:hAnsi="Times New Roman" w:cs="Times New Roman"/>
                <w:b w:val="0"/>
                <w:i w:val="0"/>
                <w:color w:val="000000"/>
                <w:sz w:val="20"/>
              </w:rPr>
              <w:t>7.10</w:t>
            </w:r>
          </w:p>
        </w:tc>
        <w:tc>
          <w:tcPr>
            <w:tcW w:type="dxa" w:w="1003"/>
          </w:tcPr>
          <w:p>
            <w:pPr>
              <w:spacing w:line="240" w:lineRule="auto" w:after="40" w:before="0"/>
              <w:jc w:val="center"/>
            </w:pPr>
            <w:r>
              <w:rPr>
                <w:rFonts w:ascii="Times New Roman" w:hAnsi="Times New Roman" w:cs="Times New Roman"/>
                <w:b w:val="0"/>
                <w:i w:val="0"/>
                <w:color w:val="000000"/>
                <w:sz w:val="20"/>
              </w:rPr>
              <w:t>42.0</w:t>
            </w:r>
          </w:p>
        </w:tc>
        <w:tc>
          <w:tcPr>
            <w:tcW w:type="dxa" w:w="1003"/>
          </w:tcPr>
          <w:p>
            <w:pPr>
              <w:spacing w:line="240" w:lineRule="auto" w:after="40" w:before="0"/>
              <w:jc w:val="center"/>
            </w:pPr>
            <w:r>
              <w:rPr>
                <w:rFonts w:ascii="Times New Roman" w:hAnsi="Times New Roman" w:cs="Times New Roman"/>
                <w:b w:val="0"/>
                <w:i w:val="0"/>
                <w:color w:val="000000"/>
                <w:sz w:val="20"/>
              </w:rPr>
              <w:t>38.00</w:t>
            </w:r>
          </w:p>
        </w:tc>
        <w:tc>
          <w:tcPr>
            <w:tcW w:type="dxa" w:w="1003"/>
          </w:tcPr>
          <w:p>
            <w:pPr>
              <w:spacing w:line="240" w:lineRule="auto" w:after="40" w:before="0"/>
              <w:jc w:val="center"/>
            </w:pPr>
            <w:r>
              <w:rPr>
                <w:rFonts w:ascii="Times New Roman" w:hAnsi="Times New Roman" w:cs="Times New Roman"/>
                <w:b w:val="0"/>
                <w:i w:val="0"/>
                <w:color w:val="000000"/>
                <w:sz w:val="20"/>
              </w:rPr>
              <w:t>47.00</w:t>
            </w:r>
          </w:p>
        </w:tc>
        <w:tc>
          <w:tcPr>
            <w:tcW w:type="dxa" w:w="1003"/>
          </w:tcPr>
          <w:p>
            <w:pPr>
              <w:spacing w:line="240" w:lineRule="auto" w:after="40" w:before="0"/>
              <w:jc w:val="center"/>
            </w:pPr>
            <w:r>
              <w:rPr>
                <w:rFonts w:ascii="Times New Roman" w:hAnsi="Times New Roman" w:cs="Times New Roman"/>
                <w:b w:val="0"/>
                <w:i w:val="0"/>
                <w:color w:val="000000"/>
                <w:sz w:val="20"/>
              </w:rPr>
              <w:t>30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TikTok</w:t>
            </w:r>
          </w:p>
        </w:tc>
        <w:tc>
          <w:tcPr>
            <w:tcW w:type="dxa" w:w="1003"/>
          </w:tcPr>
          <w:p>
            <w:pPr>
              <w:spacing w:line="240" w:lineRule="auto" w:after="40" w:before="0"/>
              <w:jc w:val="center"/>
            </w:pPr>
            <w:r>
              <w:rPr>
                <w:rFonts w:ascii="Times New Roman" w:hAnsi="Times New Roman" w:cs="Times New Roman"/>
                <w:b w:val="0"/>
                <w:i w:val="0"/>
                <w:color w:val="000000"/>
                <w:sz w:val="20"/>
              </w:rPr>
              <w:t>47</w:t>
            </w:r>
          </w:p>
        </w:tc>
        <w:tc>
          <w:tcPr>
            <w:tcW w:type="dxa" w:w="1003"/>
          </w:tcPr>
          <w:p>
            <w:pPr>
              <w:spacing w:line="240" w:lineRule="auto" w:after="40" w:before="0"/>
              <w:jc w:val="center"/>
            </w:pPr>
            <w:r>
              <w:rPr>
                <w:rFonts w:ascii="Times New Roman" w:hAnsi="Times New Roman" w:cs="Times New Roman"/>
                <w:b w:val="0"/>
                <w:i w:val="0"/>
                <w:color w:val="000000"/>
                <w:sz w:val="20"/>
              </w:rPr>
              <w:t>35.64</w:t>
            </w:r>
          </w:p>
        </w:tc>
        <w:tc>
          <w:tcPr>
            <w:tcW w:type="dxa" w:w="1003"/>
          </w:tcPr>
          <w:p>
            <w:pPr>
              <w:spacing w:line="240" w:lineRule="auto" w:after="40" w:before="0"/>
              <w:jc w:val="center"/>
            </w:pPr>
            <w:r>
              <w:rPr>
                <w:rFonts w:ascii="Times New Roman" w:hAnsi="Times New Roman" w:cs="Times New Roman"/>
                <w:b w:val="0"/>
                <w:i w:val="0"/>
                <w:color w:val="000000"/>
                <w:sz w:val="20"/>
              </w:rPr>
              <w:t>7.97</w:t>
            </w:r>
          </w:p>
        </w:tc>
        <w:tc>
          <w:tcPr>
            <w:tcW w:type="dxa" w:w="1003"/>
          </w:tcPr>
          <w:p>
            <w:pPr>
              <w:spacing w:line="240" w:lineRule="auto" w:after="40" w:before="0"/>
              <w:jc w:val="center"/>
            </w:pPr>
            <w:r>
              <w:rPr>
                <w:rFonts w:ascii="Times New Roman" w:hAnsi="Times New Roman" w:cs="Times New Roman"/>
                <w:b w:val="0"/>
                <w:i w:val="0"/>
                <w:color w:val="000000"/>
                <w:sz w:val="20"/>
              </w:rPr>
              <w:t>35.0</w:t>
            </w:r>
          </w:p>
        </w:tc>
        <w:tc>
          <w:tcPr>
            <w:tcW w:type="dxa" w:w="1003"/>
          </w:tcPr>
          <w:p>
            <w:pPr>
              <w:spacing w:line="240" w:lineRule="auto" w:after="40" w:before="0"/>
              <w:jc w:val="center"/>
            </w:pPr>
            <w:r>
              <w:rPr>
                <w:rFonts w:ascii="Times New Roman" w:hAnsi="Times New Roman" w:cs="Times New Roman"/>
                <w:b w:val="0"/>
                <w:i w:val="0"/>
                <w:color w:val="000000"/>
                <w:sz w:val="20"/>
              </w:rPr>
              <w:t>31.00</w:t>
            </w:r>
          </w:p>
        </w:tc>
        <w:tc>
          <w:tcPr>
            <w:tcW w:type="dxa" w:w="1003"/>
          </w:tcPr>
          <w:p>
            <w:pPr>
              <w:spacing w:line="240" w:lineRule="auto" w:after="40" w:before="0"/>
              <w:jc w:val="center"/>
            </w:pPr>
            <w:r>
              <w:rPr>
                <w:rFonts w:ascii="Times New Roman" w:hAnsi="Times New Roman" w:cs="Times New Roman"/>
                <w:b w:val="0"/>
                <w:i w:val="0"/>
                <w:color w:val="000000"/>
                <w:sz w:val="20"/>
              </w:rPr>
              <w:t>39.00</w:t>
            </w:r>
          </w:p>
        </w:tc>
        <w:tc>
          <w:tcPr>
            <w:tcW w:type="dxa" w:w="1003"/>
          </w:tcPr>
          <w:p>
            <w:pPr>
              <w:spacing w:line="240" w:lineRule="auto" w:after="40" w:before="0"/>
              <w:jc w:val="center"/>
            </w:pPr>
            <w:r>
              <w:rPr>
                <w:rFonts w:ascii="Times New Roman" w:hAnsi="Times New Roman" w:cs="Times New Roman"/>
                <w:b w:val="0"/>
                <w:i w:val="0"/>
                <w:color w:val="000000"/>
                <w:sz w:val="20"/>
              </w:rPr>
              <w:t>20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Instagram</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28.98</w:t>
            </w:r>
          </w:p>
        </w:tc>
        <w:tc>
          <w:tcPr>
            <w:tcW w:type="dxa" w:w="1003"/>
          </w:tcPr>
          <w:p>
            <w:pPr>
              <w:spacing w:line="240" w:lineRule="auto" w:after="40" w:before="0"/>
              <w:jc w:val="center"/>
            </w:pPr>
            <w:r>
              <w:rPr>
                <w:rFonts w:ascii="Times New Roman" w:hAnsi="Times New Roman" w:cs="Times New Roman"/>
                <w:b w:val="0"/>
                <w:i w:val="0"/>
                <w:color w:val="000000"/>
                <w:sz w:val="20"/>
              </w:rPr>
              <w:t>6.82</w:t>
            </w:r>
          </w:p>
        </w:tc>
        <w:tc>
          <w:tcPr>
            <w:tcW w:type="dxa" w:w="1003"/>
          </w:tcPr>
          <w:p>
            <w:pPr>
              <w:spacing w:line="240" w:lineRule="auto" w:after="40" w:before="0"/>
              <w:jc w:val="center"/>
            </w:pPr>
            <w:r>
              <w:rPr>
                <w:rFonts w:ascii="Times New Roman" w:hAnsi="Times New Roman" w:cs="Times New Roman"/>
                <w:b w:val="0"/>
                <w:i w:val="0"/>
                <w:color w:val="000000"/>
                <w:sz w:val="20"/>
              </w:rPr>
              <w:t>27.5</w:t>
            </w:r>
          </w:p>
        </w:tc>
        <w:tc>
          <w:tcPr>
            <w:tcW w:type="dxa" w:w="1003"/>
          </w:tcPr>
          <w:p>
            <w:pPr>
              <w:spacing w:line="240" w:lineRule="auto" w:after="40" w:before="0"/>
              <w:jc w:val="center"/>
            </w:pPr>
            <w:r>
              <w:rPr>
                <w:rFonts w:ascii="Times New Roman" w:hAnsi="Times New Roman" w:cs="Times New Roman"/>
                <w:b w:val="0"/>
                <w:i w:val="0"/>
                <w:color w:val="000000"/>
                <w:sz w:val="20"/>
              </w:rPr>
              <w:t>25.00</w:t>
            </w:r>
          </w:p>
        </w:tc>
        <w:tc>
          <w:tcPr>
            <w:tcW w:type="dxa" w:w="1003"/>
          </w:tcPr>
          <w:p>
            <w:pPr>
              <w:spacing w:line="240" w:lineRule="auto" w:after="40" w:before="0"/>
              <w:jc w:val="center"/>
            </w:pPr>
            <w:r>
              <w:rPr>
                <w:rFonts w:ascii="Times New Roman" w:hAnsi="Times New Roman" w:cs="Times New Roman"/>
                <w:b w:val="0"/>
                <w:i w:val="0"/>
                <w:color w:val="000000"/>
                <w:sz w:val="20"/>
              </w:rPr>
              <w:t>34.00</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52</w:t>
            </w:r>
          </w:p>
        </w:tc>
      </w:tr>
      <w:tr>
        <w:tc>
          <w:tcPr>
            <w:tcW w:type="dxa" w:w="1003"/>
          </w:tcPr>
          <w:p>
            <w:pPr>
              <w:spacing w:line="240" w:lineRule="auto" w:after="40" w:before="0"/>
              <w:jc w:val="center"/>
            </w:pPr>
            <w:r>
              <w:rPr>
                <w:rFonts w:ascii="Times New Roman" w:hAnsi="Times New Roman" w:cs="Times New Roman"/>
                <w:b w:val="0"/>
                <w:i w:val="0"/>
                <w:color w:val="000000"/>
                <w:sz w:val="20"/>
              </w:rPr>
              <w:t>Overall</w:t>
            </w:r>
          </w:p>
        </w:tc>
        <w:tc>
          <w:tcPr>
            <w:tcW w:type="dxa" w:w="1003"/>
          </w:tcPr>
          <w:p>
            <w:pPr>
              <w:spacing w:line="240" w:lineRule="auto" w:after="40" w:before="0"/>
              <w:jc w:val="center"/>
            </w:pPr>
            <w:r>
              <w:rPr>
                <w:rFonts w:ascii="Times New Roman" w:hAnsi="Times New Roman" w:cs="Times New Roman"/>
                <w:b w:val="0"/>
                <w:i w:val="0"/>
                <w:color w:val="000000"/>
                <w:sz w:val="20"/>
              </w:rPr>
              <w:t>197</w:t>
            </w:r>
          </w:p>
        </w:tc>
        <w:tc>
          <w:tcPr>
            <w:tcW w:type="dxa" w:w="1003"/>
          </w:tcPr>
          <w:p>
            <w:pPr>
              <w:spacing w:line="240" w:lineRule="auto" w:after="40" w:before="0"/>
              <w:jc w:val="center"/>
            </w:pPr>
            <w:r>
              <w:rPr>
                <w:rFonts w:ascii="Times New Roman" w:hAnsi="Times New Roman" w:cs="Times New Roman"/>
                <w:b w:val="0"/>
                <w:i w:val="0"/>
                <w:color w:val="000000"/>
                <w:sz w:val="20"/>
              </w:rPr>
              <w:t>38.68</w:t>
            </w:r>
          </w:p>
        </w:tc>
        <w:tc>
          <w:tcPr>
            <w:tcW w:type="dxa" w:w="1003"/>
          </w:tcPr>
          <w:p>
            <w:pPr>
              <w:spacing w:line="240" w:lineRule="auto" w:after="40" w:before="0"/>
              <w:jc w:val="center"/>
            </w:pPr>
            <w:r>
              <w:rPr>
                <w:rFonts w:ascii="Times New Roman" w:hAnsi="Times New Roman" w:cs="Times New Roman"/>
                <w:b w:val="0"/>
                <w:i w:val="0"/>
                <w:color w:val="000000"/>
                <w:sz w:val="20"/>
              </w:rPr>
              <w:t>10.16</w:t>
            </w:r>
          </w:p>
        </w:tc>
        <w:tc>
          <w:tcPr>
            <w:tcW w:type="dxa" w:w="1003"/>
          </w:tcPr>
          <w:p>
            <w:pPr>
              <w:spacing w:line="240" w:lineRule="auto" w:after="40" w:before="0"/>
              <w:jc w:val="center"/>
            </w:pPr>
            <w:r>
              <w:rPr>
                <w:rFonts w:ascii="Times New Roman" w:hAnsi="Times New Roman" w:cs="Times New Roman"/>
                <w:b w:val="0"/>
                <w:i w:val="0"/>
                <w:color w:val="000000"/>
                <w:sz w:val="20"/>
              </w:rPr>
              <w:t>38.0</w:t>
            </w:r>
          </w:p>
        </w:tc>
        <w:tc>
          <w:tcPr>
            <w:tcW w:type="dxa" w:w="1003"/>
          </w:tcPr>
          <w:p>
            <w:pPr>
              <w:spacing w:line="240" w:lineRule="auto" w:after="40" w:before="0"/>
              <w:jc w:val="center"/>
            </w:pPr>
            <w:r>
              <w:rPr>
                <w:rFonts w:ascii="Times New Roman" w:hAnsi="Times New Roman" w:cs="Times New Roman"/>
                <w:b w:val="0"/>
                <w:i w:val="0"/>
                <w:color w:val="000000"/>
                <w:sz w:val="20"/>
              </w:rPr>
              <w:t>â€”</w:t>
            </w:r>
          </w:p>
        </w:tc>
        <w:tc>
          <w:tcPr>
            <w:tcW w:type="dxa" w:w="1003"/>
          </w:tcPr>
          <w:p>
            <w:pPr>
              <w:spacing w:line="240" w:lineRule="auto" w:after="40" w:before="0"/>
              <w:jc w:val="center"/>
            </w:pPr>
            <w:r>
              <w:rPr>
                <w:rFonts w:ascii="Times New Roman" w:hAnsi="Times New Roman" w:cs="Times New Roman"/>
                <w:b w:val="0"/>
                <w:i w:val="0"/>
                <w:color w:val="000000"/>
                <w:sz w:val="20"/>
              </w:rPr>
              <w:t>â€”</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bl>
    <w:p>
      <w:pPr>
        <w:spacing w:line="360" w:lineRule="auto" w:after="120" w:before="0"/>
        <w:jc w:val="both"/>
      </w:pPr>
      <w:r>
        <w:rPr>
          <w:rFonts w:ascii="Times New Roman" w:hAnsi="Times New Roman" w:cs="Times New Roman"/>
          <w:b w:val="0"/>
          <w:i w:val="0"/>
          <w:color w:val="000000"/>
          <w:sz w:val="24"/>
        </w:rPr>
        <w:t>Note. M = mean; SD = standard deviation; Mdn = median; Q1 = 25th percentile; Q3 = 75th percentile. DISCERN score categories are based on commonly adopted thresholds in the health information quality literature.</w:t>
      </w:r>
    </w:p>
    <w:p>
      <w:pPr>
        <w:spacing w:line="240" w:lineRule="auto" w:after="80" w:before="0"/>
        <w:jc w:val="center"/>
      </w:pPr>
      <w:r>
        <w:drawing>
          <wp:inline xmlns:a="http://schemas.openxmlformats.org/drawingml/2006/main" xmlns:pic="http://schemas.openxmlformats.org/drawingml/2006/picture">
            <wp:extent cx="5029200" cy="3857584"/>
            <wp:docPr id="1" name="Picture 1"/>
            <wp:cNvGraphicFramePr>
              <a:graphicFrameLocks noChangeAspect="1"/>
            </wp:cNvGraphicFramePr>
            <a:graphic>
              <a:graphicData uri="http://schemas.openxmlformats.org/drawingml/2006/picture">
                <pic:pic>
                  <pic:nvPicPr>
                    <pic:cNvPr id="0" name="fig1_discern_boxplot.png"/>
                    <pic:cNvPicPr/>
                  </pic:nvPicPr>
                  <pic:blipFill>
                    <a:blip r:embed="rId9"/>
                    <a:stretch>
                      <a:fillRect/>
                    </a:stretch>
                  </pic:blipFill>
                  <pic:spPr>
                    <a:xfrm>
                      <a:off x="0" y="0"/>
                      <a:ext cx="5029200" cy="385758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1. Box plot of DISCERN total scores by platform. The horizontal line within each box represents the median; box boundaries indicate Q1 and Q3; whiskers extend to 1.5 times the IQR.</w:t>
      </w:r>
    </w:p>
    <w:p>
      <w:pPr>
        <w:spacing w:line="360" w:lineRule="auto" w:after="120" w:before="0"/>
        <w:jc w:val="both"/>
      </w:pPr>
      <w:r>
        <w:rPr>
          <w:rFonts w:ascii="Times New Roman" w:hAnsi="Times New Roman" w:cs="Times New Roman"/>
          <w:b w:val="0"/>
          <w:i w:val="0"/>
          <w:color w:val="000000"/>
          <w:sz w:val="24"/>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pPr>
        <w:spacing w:line="360" w:lineRule="auto" w:after="120" w:before="0"/>
        <w:jc w:val="both"/>
      </w:pPr>
      <w:r>
        <w:rPr>
          <w:rFonts w:ascii="Times New Roman" w:hAnsi="Times New Roman" w:cs="Times New Roman"/>
          <w:b w:val="0"/>
          <w:i w:val="0"/>
          <w:color w:val="000000"/>
          <w:sz w:val="24"/>
        </w:rPr>
        <w:t>Dunn's post-hoc pairwise comparisons with Bonferroni correction revealed significant differences for all six platform pairs (Table 4).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similar in information quality than other pairings. The remaining comparisonsâ€”Website versus TikTok (U = 1972, p &lt; .001, r = -0.678), YouTube versus TikTok (U = 1775, p &lt; .001, r = -0.511), and TikTok versus Instagram (U = 1740, p &lt; .001, r = -0.480)â€”all yielded medium to large effects.</w:t>
      </w:r>
    </w:p>
    <w:p>
      <w:pPr>
        <w:spacing w:line="240" w:lineRule="auto" w:after="80" w:before="0"/>
        <w:jc w:val="center"/>
      </w:pPr>
      <w:r>
        <w:drawing>
          <wp:inline xmlns:a="http://schemas.openxmlformats.org/drawingml/2006/main" xmlns:pic="http://schemas.openxmlformats.org/drawingml/2006/picture">
            <wp:extent cx="5029200" cy="3131166"/>
            <wp:docPr id="2" name="Picture 2"/>
            <wp:cNvGraphicFramePr>
              <a:graphicFrameLocks noChangeAspect="1"/>
            </wp:cNvGraphicFramePr>
            <a:graphic>
              <a:graphicData uri="http://schemas.openxmlformats.org/drawingml/2006/picture">
                <pic:pic>
                  <pic:nvPicPr>
                    <pic:cNvPr id="0" name="fig2_discern_categories.png"/>
                    <pic:cNvPicPr/>
                  </pic:nvPicPr>
                  <pic:blipFill>
                    <a:blip r:embed="rId10"/>
                    <a:stretch>
                      <a:fillRect/>
                    </a:stretch>
                  </pic:blipFill>
                  <pic:spPr>
                    <a:xfrm>
                      <a:off x="0" y="0"/>
                      <a:ext cx="5029200" cy="3131166"/>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2. Distribution of DISCERN quality categories by platform. Categories are based on conventional thresholds: Very Poor (16â€“26), Poor (27â€“38), Fair (39â€“50), Good (51â€“62), and Excellent (63â€“80).</w:t>
      </w:r>
    </w:p>
    <w:p>
      <w:pPr>
        <w:spacing w:line="360" w:lineRule="auto" w:after="120" w:before="0"/>
        <w:jc w:val="both"/>
      </w:pPr>
      <w:r>
        <w:rPr>
          <w:rFonts w:ascii="Times New Roman" w:hAnsi="Times New Roman" w:cs="Times New Roman"/>
          <w:b w:val="0"/>
          <w:i w:val="0"/>
          <w:color w:val="000000"/>
          <w:sz w:val="24"/>
        </w:rPr>
        <w:t>DISCERN section scores followed a consistent pattern. For Section 1 (reliability of publication, Q1â€“Q8), median scores decreased from websites (Mdn = 25, IQR = 23â€“29) to YouTube (Mdn = 24, IQR = 21â€“27), TikTok (Mdn = 19, IQR = 17â€“22), and Instagram (Mdn = 15, IQR = 13â€“18). Section 2 (quality of treatment information, Q9â€“Q15) showed a parallel decline: websites (Mdn = 18, IQR = 16â€“21), YouTube (Mdn = 16, IQR = 14â€“18), TikTok (Mdn = 14, IQR = 11â€“16), and Instagram (Mdn = 10, IQR = 9â€“13).</w:t>
      </w:r>
    </w:p>
    <w:p>
      <w:pPr>
        <w:pStyle w:val="Heading2"/>
        <w:spacing w:line="360" w:lineRule="auto" w:after="200" w:before="0"/>
        <w:jc w:val="both"/>
      </w:pPr>
      <w:r>
        <w:rPr>
          <w:rFonts w:ascii="Times New Roman" w:hAnsi="Times New Roman" w:cs="Times New Roman"/>
          <w:b/>
          <w:i w:val="0"/>
          <w:color w:val="000000"/>
          <w:sz w:val="26"/>
        </w:rPr>
        <w:t>3.4 JAMA Benchmark Compliance by Platform</w:t>
      </w:r>
    </w:p>
    <w:p>
      <w:pPr>
        <w:spacing w:line="360" w:lineRule="auto" w:after="120" w:before="0"/>
        <w:jc w:val="both"/>
      </w:pPr>
      <w:r>
        <w:rPr>
          <w:rFonts w:ascii="Times New Roman" w:hAnsi="Times New Roman" w:cs="Times New Roman"/>
          <w:b w:val="0"/>
          <w:i w:val="0"/>
          <w:color w:val="000000"/>
          <w:sz w:val="24"/>
        </w:rPr>
        <w:t>JAMA benchmark compliance varied by criterion and platform (Table 4). A Kruskal-Wallis test on JAMA total scores (range 0â€“4) revealed no statistically significant difference across 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w:t>
      </w:r>
    </w:p>
    <w:p>
      <w:pPr>
        <w:spacing w:line="360" w:lineRule="auto" w:after="120" w:before="0"/>
        <w:jc w:val="both"/>
      </w:pPr>
      <w:r>
        <w:rPr>
          <w:rFonts w:ascii="Times New Roman" w:hAnsi="Times New Roman" w:cs="Times New Roman"/>
          <w:b w:val="0"/>
          <w:i w:val="0"/>
          <w:color w:val="000000"/>
          <w:sz w:val="24"/>
        </w:rPr>
        <w:t>Chi-square tests on individual JAMA criteria revealed significant platform differences for three of the four benchmarks. Attribution differed significantly across platforms (Ï‡Â²[3] = 24.255, p &lt; .001, CramÃ©râ€™s V = 0.351, medium effect), with websites (30%) and YouTube (16%) demonstrating the highest compliance, while TikTok (0%) provided no source citations whatsoever. Disclosure also differed significantly (Ï‡Â²[3] = 15.921, p = .001, V = 0.284, medium effect), with websites (16%) and TikTok (12.8%) showing the highest rates of sponsorship declaration; YouTube and Instagram both recorded 0% disclosure compliance. Currency showed significant variation (Ï‡Â²[3] = 51.198, p &lt; .001, V = 0.510, large effect), driven by the contrast between traditional websites (68%) and social media platforms (100% each). Authorship did not differ significantly across platforms (Ï‡Â²[3] = 6.151, p = .105, V = 0.177, small effect), with compliance ranging from 16% (Instagram) to 38% (YouTube).</w:t>
      </w:r>
    </w:p>
    <w:p>
      <w:pPr>
        <w:spacing w:line="360" w:lineRule="auto" w:after="80" w:before="0"/>
        <w:jc w:val="center"/>
      </w:pPr>
      <w:r>
        <w:rPr>
          <w:rFonts w:ascii="Times New Roman" w:hAnsi="Times New Roman" w:cs="Times New Roman"/>
          <w:b/>
          <w:i/>
          <w:color w:val="000000"/>
          <w:sz w:val="22"/>
        </w:rPr>
        <w:t>Table 4. JAMA Benchmark Compliance by Platform (%)</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Criterion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Instagram</w:t>
            </w:r>
          </w:p>
        </w:tc>
      </w:tr>
      <w:tr>
        <w:tc>
          <w:tcPr>
            <w:tcW w:type="dxa" w:w="1805"/>
          </w:tcPr>
          <w:p>
            <w:pPr>
              <w:spacing w:line="240" w:lineRule="auto" w:after="40" w:before="0"/>
              <w:jc w:val="center"/>
            </w:pPr>
            <w:r>
              <w:rPr>
                <w:rFonts w:ascii="Times New Roman" w:hAnsi="Times New Roman" w:cs="Times New Roman"/>
                <w:b w:val="0"/>
                <w:i w:val="0"/>
                <w:color w:val="000000"/>
                <w:sz w:val="20"/>
              </w:rPr>
              <w:t>Authorship</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38%</w:t>
            </w:r>
          </w:p>
        </w:tc>
        <w:tc>
          <w:tcPr>
            <w:tcW w:type="dxa" w:w="1805"/>
          </w:tcPr>
          <w:p>
            <w:pPr>
              <w:spacing w:line="240" w:lineRule="auto" w:after="40" w:before="0"/>
              <w:jc w:val="center"/>
            </w:pPr>
            <w:r>
              <w:rPr>
                <w:rFonts w:ascii="Times New Roman" w:hAnsi="Times New Roman" w:cs="Times New Roman"/>
                <w:b w:val="0"/>
                <w:i w:val="0"/>
                <w:color w:val="000000"/>
                <w:sz w:val="20"/>
              </w:rPr>
              <w:t>29.8%</w:t>
            </w:r>
          </w:p>
        </w:tc>
        <w:tc>
          <w:tcPr>
            <w:tcW w:type="dxa" w:w="1805"/>
          </w:tcPr>
          <w:p>
            <w:pPr>
              <w:spacing w:line="240" w:lineRule="auto" w:after="40" w:before="0"/>
              <w:jc w:val="center"/>
            </w:pPr>
            <w:r>
              <w:rPr>
                <w:rFonts w:ascii="Times New Roman" w:hAnsi="Times New Roman" w:cs="Times New Roman"/>
                <w:b w:val="0"/>
                <w:i w:val="0"/>
                <w:color w:val="000000"/>
                <w:sz w:val="20"/>
              </w:rPr>
              <w:t>16%</w:t>
            </w:r>
          </w:p>
        </w:tc>
      </w:tr>
      <w:tr>
        <w:tc>
          <w:tcPr>
            <w:tcW w:type="dxa" w:w="1805"/>
          </w:tcPr>
          <w:p>
            <w:pPr>
              <w:spacing w:line="240" w:lineRule="auto" w:after="40" w:before="0"/>
              <w:jc w:val="center"/>
            </w:pPr>
            <w:r>
              <w:rPr>
                <w:rFonts w:ascii="Times New Roman" w:hAnsi="Times New Roman" w:cs="Times New Roman"/>
                <w:b w:val="0"/>
                <w:i w:val="0"/>
                <w:color w:val="000000"/>
                <w:sz w:val="20"/>
              </w:rPr>
              <w:t>Attribution</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4%</w:t>
            </w:r>
          </w:p>
        </w:tc>
      </w:tr>
      <w:tr>
        <w:tc>
          <w:tcPr>
            <w:tcW w:type="dxa" w:w="1805"/>
          </w:tcPr>
          <w:p>
            <w:pPr>
              <w:spacing w:line="240" w:lineRule="auto" w:after="40" w:before="0"/>
              <w:jc w:val="center"/>
            </w:pPr>
            <w:r>
              <w:rPr>
                <w:rFonts w:ascii="Times New Roman" w:hAnsi="Times New Roman" w:cs="Times New Roman"/>
                <w:b w:val="0"/>
                <w:i w:val="0"/>
                <w:color w:val="000000"/>
                <w:sz w:val="20"/>
              </w:rPr>
              <w:t>Disclosure</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12.8%</w:t>
            </w:r>
          </w:p>
        </w:tc>
        <w:tc>
          <w:tcPr>
            <w:tcW w:type="dxa" w:w="1805"/>
          </w:tcPr>
          <w:p>
            <w:pPr>
              <w:spacing w:line="240" w:lineRule="auto" w:after="40" w:before="0"/>
              <w:jc w:val="center"/>
            </w:pPr>
            <w:r>
              <w:rPr>
                <w:rFonts w:ascii="Times New Roman" w:hAnsi="Times New Roman" w:cs="Times New Roman"/>
                <w:b w:val="0"/>
                <w:i w:val="0"/>
                <w:color w:val="000000"/>
                <w:sz w:val="20"/>
              </w:rPr>
              <w:t>0%</w:t>
            </w:r>
          </w:p>
        </w:tc>
      </w:tr>
      <w:tr>
        <w:tc>
          <w:tcPr>
            <w:tcW w:type="dxa" w:w="1805"/>
          </w:tcPr>
          <w:p>
            <w:pPr>
              <w:spacing w:line="240" w:lineRule="auto" w:after="40" w:before="0"/>
              <w:jc w:val="center"/>
            </w:pPr>
            <w:r>
              <w:rPr>
                <w:rFonts w:ascii="Times New Roman" w:hAnsi="Times New Roman" w:cs="Times New Roman"/>
                <w:b w:val="0"/>
                <w:i w:val="0"/>
                <w:color w:val="000000"/>
                <w:sz w:val="20"/>
              </w:rPr>
              <w:t>Currency</w:t>
            </w:r>
          </w:p>
        </w:tc>
        <w:tc>
          <w:tcPr>
            <w:tcW w:type="dxa" w:w="1805"/>
          </w:tcPr>
          <w:p>
            <w:pPr>
              <w:spacing w:line="240" w:lineRule="auto" w:after="40" w:before="0"/>
              <w:jc w:val="center"/>
            </w:pPr>
            <w:r>
              <w:rPr>
                <w:rFonts w:ascii="Times New Roman" w:hAnsi="Times New Roman" w:cs="Times New Roman"/>
                <w:b w:val="0"/>
                <w:i w:val="0"/>
                <w:color w:val="000000"/>
                <w:sz w:val="20"/>
              </w:rPr>
              <w:t>68%</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r>
      <w:tr>
        <w:tc>
          <w:tcPr>
            <w:tcW w:type="dxa" w:w="1805"/>
          </w:tcPr>
          <w:p>
            <w:pPr>
              <w:spacing w:line="240" w:lineRule="auto" w:after="40" w:before="0"/>
              <w:jc w:val="center"/>
            </w:pPr>
            <w:r>
              <w:rPr>
                <w:rFonts w:ascii="Times New Roman" w:hAnsi="Times New Roman" w:cs="Times New Roman"/>
                <w:b w:val="0"/>
                <w:i w:val="0"/>
                <w:color w:val="000000"/>
                <w:sz w:val="20"/>
              </w:rPr>
              <w:t>Mean Total (0â€“4)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1.54</w:t>
            </w:r>
          </w:p>
        </w:tc>
        <w:tc>
          <w:tcPr>
            <w:tcW w:type="dxa" w:w="1805"/>
          </w:tcPr>
          <w:p>
            <w:pPr>
              <w:spacing w:line="240" w:lineRule="auto" w:after="40" w:before="0"/>
              <w:jc w:val="center"/>
            </w:pPr>
            <w:r>
              <w:rPr>
                <w:rFonts w:ascii="Times New Roman" w:hAnsi="Times New Roman" w:cs="Times New Roman"/>
                <w:b w:val="0"/>
                <w:i w:val="0"/>
                <w:color w:val="000000"/>
                <w:sz w:val="20"/>
              </w:rPr>
              <w:t>1.43</w:t>
            </w:r>
          </w:p>
        </w:tc>
        <w:tc>
          <w:tcPr>
            <w:tcW w:type="dxa" w:w="1805"/>
          </w:tcPr>
          <w:p>
            <w:pPr>
              <w:spacing w:line="240" w:lineRule="auto" w:after="40" w:before="0"/>
              <w:jc w:val="center"/>
            </w:pPr>
            <w:r>
              <w:rPr>
                <w:rFonts w:ascii="Times New Roman" w:hAnsi="Times New Roman" w:cs="Times New Roman"/>
                <w:b w:val="0"/>
                <w:i w:val="0"/>
                <w:color w:val="000000"/>
                <w:sz w:val="20"/>
              </w:rPr>
              <w:t>1.20</w:t>
            </w:r>
          </w:p>
        </w:tc>
      </w:tr>
    </w:tbl>
    <w:p>
      <w:pPr>
        <w:spacing w:line="240" w:lineRule="auto" w:after="80" w:before="0"/>
        <w:jc w:val="center"/>
      </w:pPr>
      <w:r>
        <w:drawing>
          <wp:inline xmlns:a="http://schemas.openxmlformats.org/drawingml/2006/main" xmlns:pic="http://schemas.openxmlformats.org/drawingml/2006/picture">
            <wp:extent cx="5029200" cy="3573194"/>
            <wp:docPr id="3" name="Picture 3"/>
            <wp:cNvGraphicFramePr>
              <a:graphicFrameLocks noChangeAspect="1"/>
            </wp:cNvGraphicFramePr>
            <a:graphic>
              <a:graphicData uri="http://schemas.openxmlformats.org/drawingml/2006/picture">
                <pic:pic>
                  <pic:nvPicPr>
                    <pic:cNvPr id="0" name="fig3_jama_heatmap.png"/>
                    <pic:cNvPicPr/>
                  </pic:nvPicPr>
                  <pic:blipFill>
                    <a:blip r:embed="rId11"/>
                    <a:stretch>
                      <a:fillRect/>
                    </a:stretch>
                  </pic:blipFill>
                  <pic:spPr>
                    <a:xfrm>
                      <a:off x="0" y="0"/>
                      <a:ext cx="5029200" cy="357319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3. Heatmap of JAMA benchmark compliance across platforms. Darker cells indicate higher compliance rates.</w:t>
      </w:r>
    </w:p>
    <w:p>
      <w:pPr>
        <w:pStyle w:val="Heading2"/>
        <w:spacing w:line="360" w:lineRule="auto" w:after="200" w:before="0"/>
        <w:jc w:val="both"/>
      </w:pPr>
      <w:r>
        <w:rPr>
          <w:rFonts w:ascii="Times New Roman" w:hAnsi="Times New Roman" w:cs="Times New Roman"/>
          <w:b/>
          <w:i w:val="0"/>
          <w:color w:val="000000"/>
          <w:sz w:val="26"/>
        </w:rPr>
        <w:t>3.5 Creator Type Analysis</w:t>
      </w:r>
    </w:p>
    <w:p>
      <w:pPr>
        <w:spacing w:line="360" w:lineRule="auto" w:after="120" w:before="0"/>
        <w:jc w:val="both"/>
      </w:pPr>
      <w:r>
        <w:rPr>
          <w:rFonts w:ascii="Times New Roman" w:hAnsi="Times New Roman" w:cs="Times New Roman"/>
          <w:b w:val="0"/>
          <w:i w:val="0"/>
          <w:color w:val="000000"/>
          <w:sz w:val="24"/>
        </w:rPr>
        <w:t>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 = -0.197, reaching statistical significance at the alpha = .05 level with a small effect size. Professional creators achieved a median DISCERN score of 41.0, compared with 37.0 for non-professional creators.</w:t>
      </w:r>
    </w:p>
    <w:p>
      <w:pPr>
        <w:spacing w:line="360" w:lineRule="auto" w:after="120" w:before="0"/>
        <w:jc w:val="both"/>
      </w:pPr>
      <w:r>
        <w:rPr>
          <w:rFonts w:ascii="Times New Roman" w:hAnsi="Times New Roman" w:cs="Times New Roman"/>
          <w:b w:val="0"/>
          <w:i w:val="0"/>
          <w:color w:val="000000"/>
          <w:sz w:val="24"/>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healthcare professionals. As a sensitivity analysis, when organisations were excluded from the binary classification, the difference between professional (n = 51, Mdn = 41.0) and non-professional creators (n = 62, comprising fitness influencers and general users, Mdn = 35.0) was significant (p = .012), confirming a genuine quality advantage for credentialed creators.</w:t>
      </w:r>
    </w:p>
    <w:p>
      <w:pPr>
        <w:spacing w:line="360" w:lineRule="auto" w:after="120" w:before="0"/>
        <w:jc w:val="both"/>
      </w:pPr>
      <w:r>
        <w:rPr>
          <w:rFonts w:ascii="Times New Roman" w:hAnsi="Times New Roman" w:cs="Times New Roman"/>
          <w:b w:val="0"/>
          <w:i w:val="0"/>
          <w:color w:val="000000"/>
          <w:sz w:val="24"/>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pPr>
        <w:spacing w:line="240" w:lineRule="auto" w:after="80" w:before="0"/>
        <w:jc w:val="center"/>
      </w:pPr>
      <w:r>
        <w:drawing>
          <wp:inline xmlns:a="http://schemas.openxmlformats.org/drawingml/2006/main" xmlns:pic="http://schemas.openxmlformats.org/drawingml/2006/picture">
            <wp:extent cx="5029200" cy="3294582"/>
            <wp:docPr id="4" name="Picture 4"/>
            <wp:cNvGraphicFramePr>
              <a:graphicFrameLocks noChangeAspect="1"/>
            </wp:cNvGraphicFramePr>
            <a:graphic>
              <a:graphicData uri="http://schemas.openxmlformats.org/drawingml/2006/picture">
                <pic:pic>
                  <pic:nvPicPr>
                    <pic:cNvPr id="0" name="fig4_creator_type_discern.png"/>
                    <pic:cNvPicPr/>
                  </pic:nvPicPr>
                  <pic:blipFill>
                    <a:blip r:embed="rId12"/>
                    <a:stretch>
                      <a:fillRect/>
                    </a:stretch>
                  </pic:blipFill>
                  <pic:spPr>
                    <a:xfrm>
                      <a:off x="0" y="0"/>
                      <a:ext cx="5029200" cy="3294582"/>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4. DISCERN total scores by creator type. Box plots show median, IQR, and individual observations.</w:t>
      </w:r>
    </w:p>
    <w:p>
      <w:pPr>
        <w:pStyle w:val="Heading2"/>
        <w:spacing w:line="360" w:lineRule="auto" w:after="200" w:before="0"/>
        <w:jc w:val="both"/>
      </w:pPr>
      <w:r>
        <w:rPr>
          <w:rFonts w:ascii="Times New Roman" w:hAnsi="Times New Roman" w:cs="Times New Roman"/>
          <w:b/>
          <w:i w:val="0"/>
          <w:color w:val="000000"/>
          <w:sz w:val="26"/>
        </w:rPr>
        <w:t>3.6 Engagement-Quality Relationship</w:t>
      </w:r>
    </w:p>
    <w:p>
      <w:pPr>
        <w:spacing w:line="360" w:lineRule="auto" w:after="120" w:before="0"/>
        <w:jc w:val="both"/>
      </w:pPr>
      <w:r>
        <w:rPr>
          <w:rFonts w:ascii="Times New Roman" w:hAnsi="Times New Roman" w:cs="Times New Roman"/>
          <w:b w:val="0"/>
          <w:i w:val="0"/>
          <w:color w:val="000000"/>
          <w:sz w:val="24"/>
        </w:rPr>
        <w:t>Research Question 3 examined whether engagement metrics were associated with information quality. Table 6 summarises the Spearman rank-order correlations between engagement indicators and DISCERN total scores.</w:t>
      </w:r>
    </w:p>
    <w:p>
      <w:pPr>
        <w:spacing w:line="360" w:lineRule="auto" w:after="120" w:before="0"/>
        <w:jc w:val="both"/>
      </w:pPr>
      <w:r>
        <w:rPr>
          <w:rFonts w:ascii="Times New Roman" w:hAnsi="Times New Roman" w:cs="Times New Roman"/>
          <w:b w:val="0"/>
          <w:i w:val="0"/>
          <w:color w:val="000000"/>
          <w:sz w:val="24"/>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pPr>
        <w:spacing w:line="360" w:lineRule="auto" w:after="120" w:before="0"/>
        <w:jc w:val="both"/>
      </w:pPr>
      <w:r>
        <w:rPr>
          <w:rFonts w:ascii="Times New Roman" w:hAnsi="Times New Roman" w:cs="Times New Roman"/>
          <w:b w:val="0"/>
          <w:i w:val="0"/>
          <w:color w:val="000000"/>
          <w:sz w:val="24"/>
        </w:rPr>
        <w:t>These overall positive correlations for likes and comments must be interpreted with considerable caution, as they represent a largely confounded association driven by between-platform differences: traditional websites, which scored highest on DISCERN, also tend to accumulate higher absolute engagement counts (e.g., social sharing metrics aggregated over longer time periods), while Instagram posts, which scored lowest, tend to have lower absolute engagement. When examined within individual platforms, TikTok (rho = 0.109, p = .467) and Instagram (rho = -0.174, p = .226) showed non-significant likesâ€“quality correlations. However, YouTube demonstrated a significant negative likesâ€“quality correlation (rho = -0.286,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rather than reflecting a genuine within-platform relationship. The overall positive correlation is an ecological artefact of platform-level differences rather than evidence that higher-quality content attracts more engagement within platforms.</w:t>
      </w:r>
    </w:p>
    <w:p>
      <w:pPr>
        <w:spacing w:line="360" w:lineRule="auto" w:after="120" w:before="0"/>
        <w:jc w:val="both"/>
      </w:pPr>
      <w:r>
        <w:rPr>
          <w:rFonts w:ascii="Times New Roman" w:hAnsi="Times New Roman" w:cs="Times New Roman"/>
          <w:b w:val="0"/>
          <w:i w:val="0"/>
          <w:color w:val="000000"/>
          <w:sz w:val="24"/>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viewsâ€“quality correlation was negligible and non-significant (rho = -0.057, p = .702).</w:t>
      </w:r>
    </w:p>
    <w:p>
      <w:pPr>
        <w:spacing w:line="240" w:lineRule="auto" w:after="80" w:before="0"/>
        <w:jc w:val="center"/>
      </w:pPr>
      <w:r>
        <w:drawing>
          <wp:inline xmlns:a="http://schemas.openxmlformats.org/drawingml/2006/main" xmlns:pic="http://schemas.openxmlformats.org/drawingml/2006/picture">
            <wp:extent cx="5029200" cy="3458844"/>
            <wp:docPr id="5" name="Picture 5"/>
            <wp:cNvGraphicFramePr>
              <a:graphicFrameLocks noChangeAspect="1"/>
            </wp:cNvGraphicFramePr>
            <a:graphic>
              <a:graphicData uri="http://schemas.openxmlformats.org/drawingml/2006/picture">
                <pic:pic>
                  <pic:nvPicPr>
                    <pic:cNvPr id="0" name="fig5_engagement_vs_quality.png"/>
                    <pic:cNvPicPr/>
                  </pic:nvPicPr>
                  <pic:blipFill>
                    <a:blip r:embed="rId13"/>
                    <a:stretch>
                      <a:fillRect/>
                    </a:stretch>
                  </pic:blipFill>
                  <pic:spPr>
                    <a:xfrm>
                      <a:off x="0" y="0"/>
                      <a:ext cx="5029200" cy="345884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5. Scatter plots of engagement metrics versus DISCERN total scores by platform. Top row: views (Instagram lacks public view counts for non-Reel posts). Bottom row: likes. Trend lines are fitted using linear regression.</w:t>
      </w:r>
    </w:p>
    <w:p>
      <w:pPr>
        <w:pStyle w:val="Heading2"/>
        <w:spacing w:line="360" w:lineRule="auto" w:after="200" w:before="0"/>
        <w:jc w:val="both"/>
      </w:pPr>
      <w:r>
        <w:rPr>
          <w:rFonts w:ascii="Times New Roman" w:hAnsi="Times New Roman" w:cs="Times New Roman"/>
          <w:b/>
          <w:i w:val="0"/>
          <w:color w:val="000000"/>
          <w:sz w:val="26"/>
        </w:rPr>
        <w:t>3.7 DISCERN Question-Level Patterns</w:t>
      </w:r>
    </w:p>
    <w:p>
      <w:pPr>
        <w:spacing w:line="360" w:lineRule="auto" w:after="120" w:before="0"/>
        <w:jc w:val="both"/>
      </w:pPr>
      <w:r>
        <w:rPr>
          <w:rFonts w:ascii="Times New Roman" w:hAnsi="Times New Roman" w:cs="Times New Roman"/>
          <w:b w:val="0"/>
          <w:i w:val="0"/>
          <w:color w:val="000000"/>
          <w:sz w:val="24"/>
        </w:rPr>
        <w:t>Figure 6 presents a heatmap of mean scores for each of the 16 DISCERN questions across platforms. Several patterns merit attention. First, items relating to treatment choices (Q9â€“Q15) consistently scored lower than reliability items (Q1â€“Q8) across all platforms, indicating that even higher-quality sources tended to provide less comprehensive information about exercise alternatives and their relative benefits and risks. Second, Q4 ('Is it clear what sources of information were used to compile the publication?')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 underlying information was produced. Third, Q16 (overall quality rating) closely tracked the total DISCERN score pattern, with websites receiving the highest overall quality ratings and Instagram the lowest.</w:t>
      </w:r>
    </w:p>
    <w:p>
      <w:pPr>
        <w:spacing w:line="240" w:lineRule="auto" w:after="80" w:before="0"/>
        <w:jc w:val="center"/>
      </w:pPr>
      <w:r>
        <w:drawing>
          <wp:inline xmlns:a="http://schemas.openxmlformats.org/drawingml/2006/main" xmlns:pic="http://schemas.openxmlformats.org/drawingml/2006/picture">
            <wp:extent cx="5029200" cy="2317460"/>
            <wp:docPr id="6" name="Picture 6"/>
            <wp:cNvGraphicFramePr>
              <a:graphicFrameLocks noChangeAspect="1"/>
            </wp:cNvGraphicFramePr>
            <a:graphic>
              <a:graphicData uri="http://schemas.openxmlformats.org/drawingml/2006/picture">
                <pic:pic>
                  <pic:nvPicPr>
                    <pic:cNvPr id="0" name="fig6_discern_questions_heatmap.png"/>
                    <pic:cNvPicPr/>
                  </pic:nvPicPr>
                  <pic:blipFill>
                    <a:blip r:embed="rId14"/>
                    <a:stretch>
                      <a:fillRect/>
                    </a:stretch>
                  </pic:blipFill>
                  <pic:spPr>
                    <a:xfrm>
                      <a:off x="0" y="0"/>
                      <a:ext cx="5029200" cy="2317460"/>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6. Heatmap of mean DISCERN item scores (Q1â€“Q16) by platform. Darker shading indicates higher mean scores (maximum = 5).</w:t>
      </w:r>
    </w:p>
    <w:p>
      <w:pPr>
        <w:pStyle w:val="Heading2"/>
        <w:spacing w:line="360" w:lineRule="auto" w:after="200" w:before="0"/>
        <w:jc w:val="both"/>
      </w:pPr>
      <w:r>
        <w:rPr>
          <w:rFonts w:ascii="Times New Roman" w:hAnsi="Times New Roman" w:cs="Times New Roman"/>
          <w:b/>
          <w:i w:val="0"/>
          <w:color w:val="000000"/>
          <w:sz w:val="26"/>
        </w:rPr>
        <w:t>3.8 Content Format and Search Term Effects</w:t>
      </w:r>
    </w:p>
    <w:p>
      <w:pPr>
        <w:spacing w:line="360" w:lineRule="auto" w:after="120" w:before="0"/>
        <w:jc w:val="both"/>
      </w:pPr>
      <w:r>
        <w:rPr>
          <w:rFonts w:ascii="Times New Roman" w:hAnsi="Times New Roman" w:cs="Times New Roman"/>
          <w:b w:val="0"/>
          <w:i w:val="0"/>
          <w:color w:val="000000"/>
          <w:sz w:val="24"/>
        </w:rPr>
        <w:t>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(n = 47, TikTok) scored lower (Mdn = 35.0, M = 35.6). Carousel posts (n = 50, Instagram) scored lowest (Mdn = 27.5, M = 29.0). Because format and platform cannot be disentangled, attributing these quality differences to format per seâ€”rather than to other platform-level factors such as user norms, algorithmic incentives, and creator demographicsâ€”is not warranted from this dataset alone.</w:t>
      </w:r>
    </w:p>
    <w:p>
      <w:pPr>
        <w:spacing w:line="360" w:lineRule="auto" w:after="120" w:before="0"/>
        <w:jc w:val="both"/>
      </w:pPr>
      <w:r>
        <w:rPr>
          <w:rFonts w:ascii="Times New Roman" w:hAnsi="Times New Roman" w:cs="Times New Roman"/>
          <w:b w:val="0"/>
          <w:i w:val="0"/>
          <w:color w:val="000000"/>
          <w:sz w:val="24"/>
        </w:rPr>
        <w:t>Search terms also influenced quality scores. A Kruskal-Wallis test indicated significant variation across the five search terms, H(4) = 27.255,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