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2"/>
        </w:rPr>
        <w:t>QUALITY OF PHYSICAL ACTIVITY INFORMATION ON TRADITIONAL WEBSITES VERSUS SOCIAL MEDIA PLATFORMS:</w:t>
        <w:br/>
        <w:t>A CROSS-SECTIONAL CONTENT ANALYSIS USING DISCERN AND JAMA BENCHMARKS</w:t>
      </w:r>
    </w:p>
    <w:p/>
    <w:p/>
    <w:p>
      <w:pPr>
        <w:jc w:val="center"/>
      </w:pPr>
      <w:r>
        <w:rPr>
          <w:rFonts w:ascii="Times New Roman" w:hAnsi="Times New Roman"/>
          <w:sz w:val="24"/>
        </w:rPr>
        <w:t>Master’s Thesis</w:t>
      </w:r>
    </w:p>
    <w:p>
      <w:pPr>
        <w:jc w:val="center"/>
      </w:pPr>
      <w:r>
        <w:rPr>
          <w:rFonts w:ascii="Times New Roman" w:hAnsi="Times New Roman"/>
          <w:sz w:val="24"/>
        </w:rPr>
      </w:r>
    </w:p>
    <w:p>
      <w:pPr>
        <w:jc w:val="center"/>
      </w:pPr>
      <w:r>
        <w:rPr>
          <w:rFonts w:ascii="Times New Roman" w:hAnsi="Times New Roman"/>
          <w:sz w:val="24"/>
        </w:rPr>
        <w:t>Ayokunle Ademola-John</w:t>
      </w:r>
    </w:p>
    <w:p>
      <w:pPr>
        <w:jc w:val="center"/>
      </w:pPr>
      <w:r>
        <w:rPr>
          <w:rFonts w:ascii="Times New Roman" w:hAnsi="Times New Roman"/>
          <w:sz w:val="24"/>
        </w:rPr>
        <w:t>Master of Public Health Programme</w:t>
      </w:r>
    </w:p>
    <w:p>
      <w:pPr>
        <w:jc w:val="center"/>
      </w:pPr>
      <w:r>
        <w:rPr>
          <w:rFonts w:ascii="Times New Roman" w:hAnsi="Times New Roman"/>
          <w:sz w:val="24"/>
        </w:rPr>
      </w:r>
    </w:p>
    <w:p>
      <w:pPr>
        <w:jc w:val="center"/>
      </w:pPr>
      <w:r>
        <w:rPr>
          <w:rFonts w:ascii="Times New Roman" w:hAnsi="Times New Roman"/>
          <w:sz w:val="24"/>
        </w:rPr>
        <w:t>Supervisor: Dr. Antanas Ūsas</w:t>
      </w:r>
    </w:p>
    <w:p>
      <w:pPr>
        <w:jc w:val="center"/>
      </w:pPr>
      <w:r>
        <w:rPr>
          <w:rFonts w:ascii="Times New Roman" w:hAnsi="Times New Roman"/>
          <w:sz w:val="24"/>
        </w:rPr>
      </w:r>
    </w:p>
    <w:p>
      <w:pPr>
        <w:jc w:val="center"/>
      </w:pPr>
      <w:r>
        <w:rPr>
          <w:rFonts w:ascii="Times New Roman" w:hAnsi="Times New Roman"/>
          <w:sz w:val="24"/>
        </w:rPr>
        <w:t>Lithuanian Sports University</w:t>
      </w:r>
    </w:p>
    <w:p>
      <w:pPr>
        <w:jc w:val="center"/>
      </w:pPr>
      <w:r>
        <w:rPr>
          <w:rFonts w:ascii="Times New Roman" w:hAnsi="Times New Roman"/>
          <w:sz w:val="24"/>
        </w:rPr>
        <w:t>Faculty of Sport Medicine</w:t>
      </w:r>
    </w:p>
    <w:p>
      <w:pPr>
        <w:jc w:val="center"/>
      </w:pPr>
      <w:r>
        <w:rPr>
          <w:rFonts w:ascii="Times New Roman" w:hAnsi="Times New Roman"/>
          <w:sz w:val="24"/>
        </w:rPr>
        <w:t>Kaunas, 2026</w:t>
      </w:r>
    </w:p>
    <w:p>
      <w:r>
        <w:br w:type="page"/>
      </w:r>
    </w:p>
    <w:p>
      <w:r>
        <w:br w:type="page"/>
      </w:r>
    </w:p>
    <w:p>
      <w:r>
        <w:br w:type="page"/>
      </w:r>
    </w:p>
    <w:p>
      <w:pPr>
        <w:pStyle w:val="Heading1"/>
      </w:pPr>
      <w:r>
        <w:rPr>
          <w:rFonts w:ascii="Times New Roman" w:hAnsi="Times New Roman"/>
          <w:color w:val="000000"/>
        </w:rPr>
        <w:t>TABLE OF CONTENTS</w:t>
      </w:r>
    </w:p>
    <w:p/>
    <w:p>
      <w:pPr>
        <w:jc w:val="left"/>
      </w:pPr>
      <w:r>
        <w:rPr>
          <w:rFonts w:ascii="Times New Roman" w:hAnsi="Times New Roman"/>
          <w:i/>
          <w:color w:val="808080"/>
          <w:sz w:val="24"/>
        </w:rPr>
        <w:t>[To generate the Table of Contents in Microsoft Word:</w:t>
        <w:br/>
        <w:t>1. Place cursor here</w:t>
        <w:br/>
        <w:t>2. Go to References &gt; Table of Contents</w:t>
        <w:br/>
        <w:t>3. Select a style</w:t>
        <w:br/>
        <w:t>4. The TOC will auto-populate from Heading styles]</w:t>
      </w:r>
    </w:p>
    <w:p/>
    <w:p>
      <w:pPr>
        <w:spacing w:line="360" w:lineRule="auto"/>
        <w:jc w:val="left"/>
      </w:pPr>
      <w:r>
        <w:rPr>
          <w:rFonts w:ascii="Times New Roman" w:hAnsi="Times New Roman"/>
          <w:sz w:val="24"/>
        </w:rPr>
        <w:t>ABSTRACT</w:t>
      </w:r>
    </w:p>
    <w:p>
      <w:pPr>
        <w:spacing w:line="360" w:lineRule="auto"/>
        <w:jc w:val="left"/>
      </w:pPr>
      <w:r>
        <w:rPr>
          <w:rFonts w:ascii="Times New Roman" w:hAnsi="Times New Roman"/>
          <w:sz w:val="24"/>
        </w:rPr>
        <w:t>ACKNOWLEDGMENTS</w:t>
      </w:r>
    </w:p>
    <w:p>
      <w:pPr>
        <w:spacing w:line="360" w:lineRule="auto"/>
        <w:jc w:val="left"/>
      </w:pPr>
      <w:r>
        <w:rPr>
          <w:rFonts w:ascii="Times New Roman" w:hAnsi="Times New Roman"/>
          <w:sz w:val="24"/>
        </w:rPr>
        <w:t>LIST OF ABBREVIATIONS</w:t>
      </w:r>
    </w:p>
    <w:p>
      <w:pPr>
        <w:spacing w:line="360" w:lineRule="auto"/>
        <w:jc w:val="left"/>
      </w:pPr>
      <w:r>
        <w:rPr>
          <w:rFonts w:ascii="Times New Roman" w:hAnsi="Times New Roman"/>
          <w:sz w:val="24"/>
        </w:rPr>
        <w:t>1. LITERATURE REVIEW</w:t>
      </w:r>
    </w:p>
    <w:p>
      <w:pPr>
        <w:spacing w:line="360" w:lineRule="auto"/>
        <w:jc w:val="left"/>
      </w:pPr>
      <w:r>
        <w:rPr>
          <w:rFonts w:ascii="Times New Roman" w:hAnsi="Times New Roman"/>
          <w:sz w:val="24"/>
        </w:rPr>
        <w:t xml:space="preserve">    1.1 Digital Transformation of Health Information Seeking</w:t>
      </w:r>
    </w:p>
    <w:p>
      <w:pPr>
        <w:spacing w:line="360" w:lineRule="auto"/>
        <w:jc w:val="left"/>
      </w:pPr>
      <w:r>
        <w:rPr>
          <w:rFonts w:ascii="Times New Roman" w:hAnsi="Times New Roman"/>
          <w:sz w:val="24"/>
        </w:rPr>
        <w:t xml:space="preserve">    1.2 Theoretical Frameworks</w:t>
      </w:r>
    </w:p>
    <w:p>
      <w:pPr>
        <w:spacing w:line="360" w:lineRule="auto"/>
        <w:jc w:val="left"/>
      </w:pPr>
      <w:r>
        <w:rPr>
          <w:rFonts w:ascii="Times New Roman" w:hAnsi="Times New Roman"/>
          <w:sz w:val="24"/>
        </w:rPr>
        <w:t xml:space="preserve">    1.3 Traditional Websites as Sources of Health and PA Information</w:t>
      </w:r>
    </w:p>
    <w:p>
      <w:pPr>
        <w:spacing w:line="360" w:lineRule="auto"/>
        <w:jc w:val="left"/>
      </w:pPr>
      <w:r>
        <w:rPr>
          <w:rFonts w:ascii="Times New Roman" w:hAnsi="Times New Roman"/>
          <w:sz w:val="24"/>
        </w:rPr>
        <w:t xml:space="preserve">    1.4 Social Media Platforms as Sources of Health Information</w:t>
      </w:r>
    </w:p>
    <w:p>
      <w:pPr>
        <w:spacing w:line="360" w:lineRule="auto"/>
        <w:jc w:val="left"/>
      </w:pPr>
      <w:r>
        <w:rPr>
          <w:rFonts w:ascii="Times New Roman" w:hAnsi="Times New Roman"/>
          <w:sz w:val="24"/>
        </w:rPr>
        <w:t xml:space="preserve">    1.5 Quality Assessment Tools and Cross-Platform Applicability</w:t>
      </w:r>
    </w:p>
    <w:p>
      <w:pPr>
        <w:spacing w:line="360" w:lineRule="auto"/>
        <w:jc w:val="left"/>
      </w:pPr>
      <w:r>
        <w:rPr>
          <w:rFonts w:ascii="Times New Roman" w:hAnsi="Times New Roman"/>
          <w:sz w:val="24"/>
        </w:rPr>
        <w:t xml:space="preserve">    1.6 Evidence for the Quality Gap and Moderating Factors</w:t>
      </w:r>
    </w:p>
    <w:p>
      <w:pPr>
        <w:spacing w:line="360" w:lineRule="auto"/>
        <w:jc w:val="left"/>
      </w:pPr>
      <w:r>
        <w:rPr>
          <w:rFonts w:ascii="Times New Roman" w:hAnsi="Times New Roman"/>
          <w:sz w:val="24"/>
        </w:rPr>
        <w:t xml:space="preserve">    1.7 Summary and Rationale for the Present Study</w:t>
      </w:r>
    </w:p>
    <w:p>
      <w:pPr>
        <w:spacing w:line="360" w:lineRule="auto"/>
        <w:jc w:val="left"/>
      </w:pPr>
      <w:r>
        <w:rPr>
          <w:rFonts w:ascii="Times New Roman" w:hAnsi="Times New Roman"/>
          <w:sz w:val="24"/>
        </w:rPr>
        <w:t>2. RESEARCH METHODOLOGY</w:t>
      </w:r>
    </w:p>
    <w:p>
      <w:pPr>
        <w:spacing w:line="360" w:lineRule="auto"/>
        <w:jc w:val="left"/>
      </w:pPr>
      <w:r>
        <w:rPr>
          <w:rFonts w:ascii="Times New Roman" w:hAnsi="Times New Roman"/>
          <w:sz w:val="24"/>
        </w:rPr>
        <w:t xml:space="preserve">    2.1 Research Object</w:t>
      </w:r>
    </w:p>
    <w:p>
      <w:pPr>
        <w:spacing w:line="360" w:lineRule="auto"/>
        <w:jc w:val="left"/>
      </w:pPr>
      <w:r>
        <w:rPr>
          <w:rFonts w:ascii="Times New Roman" w:hAnsi="Times New Roman"/>
          <w:sz w:val="24"/>
        </w:rPr>
        <w:t xml:space="preserve">    2.2 Research Strategy and Logic</w:t>
      </w:r>
    </w:p>
    <w:p>
      <w:pPr>
        <w:spacing w:line="360" w:lineRule="auto"/>
        <w:jc w:val="left"/>
      </w:pPr>
      <w:r>
        <w:rPr>
          <w:rFonts w:ascii="Times New Roman" w:hAnsi="Times New Roman"/>
          <w:sz w:val="24"/>
        </w:rPr>
        <w:t xml:space="preserve">    2.3 Nature of Research</w:t>
      </w:r>
    </w:p>
    <w:p>
      <w:pPr>
        <w:spacing w:line="360" w:lineRule="auto"/>
        <w:jc w:val="left"/>
      </w:pPr>
      <w:r>
        <w:rPr>
          <w:rFonts w:ascii="Times New Roman" w:hAnsi="Times New Roman"/>
          <w:sz w:val="24"/>
        </w:rPr>
        <w:t xml:space="preserve">    2.4 Contingent of Research Subjects</w:t>
      </w:r>
    </w:p>
    <w:p>
      <w:pPr>
        <w:spacing w:line="360" w:lineRule="auto"/>
        <w:jc w:val="left"/>
      </w:pPr>
      <w:r>
        <w:rPr>
          <w:rFonts w:ascii="Times New Roman" w:hAnsi="Times New Roman"/>
          <w:sz w:val="24"/>
        </w:rPr>
        <w:t xml:space="preserve">    2.5 Research Methods</w:t>
      </w:r>
    </w:p>
    <w:p>
      <w:pPr>
        <w:spacing w:line="360" w:lineRule="auto"/>
        <w:jc w:val="left"/>
      </w:pPr>
      <w:r>
        <w:rPr>
          <w:rFonts w:ascii="Times New Roman" w:hAnsi="Times New Roman"/>
          <w:sz w:val="24"/>
        </w:rPr>
        <w:t xml:space="preserve">    2.6 Research Organisation</w:t>
      </w:r>
    </w:p>
    <w:p>
      <w:pPr>
        <w:spacing w:line="360" w:lineRule="auto"/>
        <w:jc w:val="left"/>
      </w:pPr>
      <w:r>
        <w:rPr>
          <w:rFonts w:ascii="Times New Roman" w:hAnsi="Times New Roman"/>
          <w:sz w:val="24"/>
        </w:rPr>
        <w:t xml:space="preserve">    2.7 Methods of Statistical Analysis</w:t>
      </w:r>
    </w:p>
    <w:p>
      <w:pPr>
        <w:spacing w:line="360" w:lineRule="auto"/>
        <w:jc w:val="left"/>
      </w:pPr>
      <w:r>
        <w:rPr>
          <w:rFonts w:ascii="Times New Roman" w:hAnsi="Times New Roman"/>
          <w:sz w:val="24"/>
        </w:rPr>
        <w:t>3. RESEARCH FINDINGS</w:t>
      </w:r>
    </w:p>
    <w:p>
      <w:pPr>
        <w:spacing w:line="360" w:lineRule="auto"/>
        <w:jc w:val="left"/>
      </w:pPr>
      <w:r>
        <w:rPr>
          <w:rFonts w:ascii="Times New Roman" w:hAnsi="Times New Roman"/>
          <w:sz w:val="24"/>
        </w:rPr>
        <w:t>4. DISCUSSION</w:t>
      </w:r>
    </w:p>
    <w:p>
      <w:pPr>
        <w:spacing w:line="360" w:lineRule="auto"/>
        <w:jc w:val="left"/>
      </w:pPr>
      <w:r>
        <w:rPr>
          <w:rFonts w:ascii="Times New Roman" w:hAnsi="Times New Roman"/>
          <w:sz w:val="24"/>
        </w:rPr>
        <w:t>5. CONCLUSIONS AND RECOMMENDATIONS</w:t>
      </w:r>
    </w:p>
    <w:p>
      <w:pPr>
        <w:spacing w:line="360" w:lineRule="auto"/>
        <w:jc w:val="left"/>
      </w:pPr>
      <w:r>
        <w:rPr>
          <w:rFonts w:ascii="Times New Roman" w:hAnsi="Times New Roman"/>
          <w:sz w:val="24"/>
        </w:rPr>
        <w:t>REFERENCES</w:t>
      </w:r>
    </w:p>
    <w:p>
      <w:pPr>
        <w:spacing w:line="360" w:lineRule="auto"/>
        <w:jc w:val="left"/>
      </w:pPr>
      <w:r>
        <w:rPr>
          <w:rFonts w:ascii="Times New Roman" w:hAnsi="Times New Roman"/>
          <w:sz w:val="24"/>
        </w:rPr>
        <w:t>APPENDIX A: DISCERN INSTRUMENT</w:t>
      </w:r>
    </w:p>
    <w:p>
      <w:pPr>
        <w:spacing w:line="360" w:lineRule="auto"/>
        <w:jc w:val="left"/>
      </w:pPr>
      <w:r>
        <w:rPr>
          <w:rFonts w:ascii="Times New Roman" w:hAnsi="Times New Roman"/>
          <w:sz w:val="24"/>
        </w:rPr>
        <w:t>APPENDIX B: JAMA BENCHMARKS</w:t>
      </w:r>
    </w:p>
    <w:p>
      <w:pPr>
        <w:spacing w:line="360" w:lineRule="auto"/>
        <w:jc w:val="left"/>
      </w:pPr>
      <w:r>
        <w:rPr>
          <w:rFonts w:ascii="Times New Roman" w:hAnsi="Times New Roman"/>
          <w:sz w:val="24"/>
        </w:rPr>
        <w:t>APPENDIX C: DATA SUMMARY TABLES</w:t>
      </w:r>
    </w:p>
    <w:p>
      <w:pPr>
        <w:spacing w:line="360" w:lineRule="auto"/>
        <w:jc w:val="left"/>
      </w:pPr>
      <w:r>
        <w:rPr>
          <w:rFonts w:ascii="Times New Roman" w:hAnsi="Times New Roman"/>
          <w:sz w:val="24"/>
        </w:rPr>
        <w:t>APPENDIX D: STATISTICAL ANALYSIS CODE</w:t>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sectPr w:rsidR="00FC693F" w:rsidRPr="0006063C" w:rsidSect="00034616">
      <w:pgSz w:w="11906" w:h="16838"/>
      <w:pgMar w:top="1440" w:right="1440" w:bottom="1440" w:left="1440" w:header="720" w:footer="720" w:gutter="0"/>
      <w:cols w:space="720"/>
      <w:docGrid w:linePitch="360"/>
    </w:sectPr>
    <w:p>
      <w:pPr>
        <w:pStyle w:val="Heading1"/>
      </w:pPr>
      <w:r>
        <w:rPr>
          <w:rFonts w:ascii="Times New Roman" w:hAnsi="Times New Roman"/>
          <w:color w:val="000000"/>
        </w:rPr>
        <w:t>ABSTRACT</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sz w:val="24"/>
        </w:rPr>
        <w:t>Ademola-John, A. (2026). Quality of Physical Activity Information on Traditional Websites Versus Social Media Platforms: A Cross-Sectional Content Analysis Using DISCERN and JAMA Benchmarks. Master’s Thesis. Lithuanian Sports University, Kaunas.</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val="0"/>
          <w:sz w:val="24"/>
        </w:rPr>
        <w:t>Background. The internet and social media platforms have become primary sources of physical activity (PA) information for the general public. However, the quality of this information varies considerably across platforms, and no study has simultaneously compared traditional websites, YouTube, TikTok, and Instagram using standardised quality assessment instruments.</w:t>
      </w:r>
    </w:p>
    <w:p>
      <w:pPr>
        <w:spacing w:line="360" w:lineRule="auto"/>
        <w:jc w:val="both"/>
      </w:pPr>
      <w:r>
        <w:rPr>
          <w:rFonts w:ascii="Times New Roman" w:hAnsi="Times New Roman"/>
          <w:b w:val="0"/>
          <w:i w:val="0"/>
          <w:sz w:val="24"/>
        </w:rPr>
        <w:t>Objective. This study aimed to evaluate and compare the quality of PA information across four digital platform types using the DISCERN instrument and JAMA benchmarks, and to examine whether creator type and engagement metrics moderate information quality.</w:t>
      </w:r>
    </w:p>
    <w:p>
      <w:pPr>
        <w:spacing w:line="360" w:lineRule="auto"/>
        <w:jc w:val="both"/>
      </w:pPr>
      <w:r>
        <w:rPr>
          <w:rFonts w:ascii="Times New Roman" w:hAnsi="Times New Roman"/>
          <w:b w:val="0"/>
          <w:i w:val="0"/>
          <w:sz w:val="24"/>
        </w:rPr>
        <w:t>Methods. A cross-sectional content analysis was conducted on 200 items (50 per platform) retrieved using five standardised search terms simulating typical user queries. Each item was assessed using the 16-item DISCERN instrument (scored 1–5 per question; total range 16–80) and four binary JAMA benchmark criteria (Authorship, Attribution, Disclosure, Currency). Inter-rater reliability was established on 20% of the sample (n = 40). Statistical analyses included Kruskal–Wallis H tests, Dunn’s post-hoc comparisons with Bonferroni correction, Chi-square tests, Mann–Whitney U tests, and Spearman correlations.</w:t>
      </w:r>
    </w:p>
    <w:p>
      <w:pPr>
        <w:spacing w:line="360" w:lineRule="auto"/>
        <w:jc w:val="both"/>
      </w:pPr>
      <w:r>
        <w:rPr>
          <w:rFonts w:ascii="Times New Roman" w:hAnsi="Times New Roman"/>
          <w:b w:val="0"/>
          <w:i w:val="0"/>
          <w:sz w:val="24"/>
        </w:rPr>
        <w:t>Results. A significant quality gradient was observed across platforms, H(3) = 136.58, p &lt; .001, η² = .68. Traditional websites scored highest (Mdn = 48, Fair), followed by YouTube (Mdn = 39, Poor–Fair), TikTok (Mdn = 31, Poor), and Instagram (Mdn = 21, Very Poor). All six pairwise comparisons were statistically significant (p &lt; .001). JAMA compliance was universally low (M = 1.4/4 criteria met). Professional creators produced higher-quality content than non-professionals (p = .033), though the effect was small (r = −.204). Engagement metrics bore no meaningful relationship to information quality (views–DISCERN: ρ = .017, p = .894). Inter-rater reliability was excellent (ICC = 0.994).</w:t>
      </w:r>
    </w:p>
    <w:p>
      <w:pPr>
        <w:spacing w:line="360" w:lineRule="auto"/>
        <w:jc w:val="both"/>
      </w:pPr>
      <w:r>
        <w:rPr>
          <w:rFonts w:ascii="Times New Roman" w:hAnsi="Times New Roman"/>
          <w:b w:val="0"/>
          <w:i w:val="0"/>
          <w:sz w:val="24"/>
        </w:rPr>
        <w:t>Conclusions. Physical activity information quality varies dramatically across digital platforms, with social media—particularly Instagram and TikTok—providing substantially lower-quality content than traditional websites. The absence of any relationship between engagement and quality suggests that platform algorithms do not promote accurate health information. Multi-stakeholder interventions targeting platform design, creator education, and consumer health literacy are needed to improve the quality of PA information in the digital ecosystem.</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sz w:val="24"/>
        </w:rPr>
        <w:t>Keywords: physical activity, health information quality, DISCERN, JAMA benchmarks, social media, content analysis, digital health, health literacy</w:t>
      </w:r>
    </w:p>
    <w:p>
      <w:pPr>
        <w:pStyle w:val="Heading1"/>
      </w:pPr>
      <w:r>
        <w:rPr>
          <w:rFonts w:ascii="Times New Roman" w:hAnsi="Times New Roman"/>
          <w:color w:val="000000"/>
        </w:rPr>
        <w:t>ACKNOWLEDGMENTS</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val="0"/>
          <w:sz w:val="24"/>
        </w:rPr>
        <w:t>I would like to express my sincere gratitude to my supervisor, Dr. Antanas Ūsas, for his guidance, expertise, and encouragement throughout this research project. His constructive feedback and scholarly insight were invaluable in shaping this thesis.</w:t>
      </w:r>
    </w:p>
    <w:p>
      <w:pPr>
        <w:spacing w:line="360" w:lineRule="auto"/>
        <w:jc w:val="both"/>
      </w:pPr>
      <w:r>
        <w:rPr>
          <w:rFonts w:ascii="Times New Roman" w:hAnsi="Times New Roman"/>
          <w:b w:val="0"/>
          <w:i w:val="0"/>
          <w:sz w:val="24"/>
        </w:rPr>
        <w:t>I am grateful to the faculty and staff of the Master of Public Health programme at Lithuanian Sports University for providing a stimulating academic environment and the resources necessary to complete this work.</w:t>
      </w:r>
    </w:p>
    <w:p>
      <w:pPr>
        <w:spacing w:line="360" w:lineRule="auto"/>
        <w:jc w:val="both"/>
      </w:pPr>
      <w:r>
        <w:rPr>
          <w:rFonts w:ascii="Times New Roman" w:hAnsi="Times New Roman"/>
          <w:b w:val="0"/>
          <w:i w:val="0"/>
          <w:sz w:val="24"/>
        </w:rPr>
        <w:t>I also wish to thank my family and friends for their unwavering support and patience during the course of my studies. Their encouragement sustained me through the challenges of graduate research.</w:t>
      </w:r>
    </w:p>
    <w:p>
      <w:pPr>
        <w:spacing w:line="360" w:lineRule="auto"/>
        <w:jc w:val="both"/>
      </w:pPr>
      <w:r>
        <w:rPr>
          <w:rFonts w:ascii="Times New Roman" w:hAnsi="Times New Roman"/>
          <w:b w:val="0"/>
          <w:i w:val="0"/>
          <w:sz w:val="24"/>
        </w:rPr>
        <w:t>Finally, I acknowledge that this study analysed publicly available online content and did not involve human participants. No external funding was received for this research.</w:t>
      </w:r>
    </w:p>
    <w:p>
      <w:pPr>
        <w:pStyle w:val="Heading1"/>
      </w:pPr>
      <w:r>
        <w:rPr>
          <w:rFonts w:ascii="Times New Roman" w:hAnsi="Times New Roman"/>
          <w:color w:val="000000"/>
        </w:rPr>
        <w:t>LIST OF ABBREVIATIONS</w:t>
      </w:r>
    </w:p>
    <w:p>
      <w:pPr>
        <w:spacing w:line="360" w:lineRule="auto"/>
        <w:jc w:val="both"/>
      </w:pPr>
      <w:r>
        <w:rPr>
          <w:rFonts w:ascii="Times New Roman" w:hAnsi="Times New Roman"/>
          <w:b w:val="0"/>
          <w:i w:val="0"/>
          <w:sz w:val="24"/>
        </w:rPr>
      </w:r>
    </w:p>
    <w:tbl>
      <w:tblPr>
        <w:tblStyle w:val="TableGrid"/>
        <w:tblW w:type="auto" w:w="0"/>
        <w:tblLook w:firstColumn="1" w:firstRow="1" w:lastColumn="0" w:lastRow="0" w:noHBand="0" w:noVBand="1" w:val="04A0"/>
      </w:tblPr>
      <w:tblGrid>
        <w:gridCol w:w="4513"/>
        <w:gridCol w:w="4513"/>
      </w:tblGrid>
      <w:tr>
        <w:tc>
          <w:tcPr>
            <w:tcW w:type="dxa" w:w="4513"/>
          </w:tcPr>
          <w:p>
            <w:r>
              <w:rPr>
                <w:rFonts w:ascii="Times New Roman" w:hAnsi="Times New Roman"/>
                <w:b/>
                <w:sz w:val="24"/>
              </w:rPr>
              <w:t>Abbreviation</w:t>
            </w:r>
          </w:p>
        </w:tc>
        <w:tc>
          <w:tcPr>
            <w:tcW w:type="dxa" w:w="4513"/>
          </w:tcPr>
          <w:p>
            <w:r>
              <w:rPr>
                <w:rFonts w:ascii="Times New Roman" w:hAnsi="Times New Roman"/>
                <w:b/>
                <w:sz w:val="24"/>
              </w:rPr>
              <w:t>Full Term</w:t>
            </w:r>
          </w:p>
        </w:tc>
      </w:tr>
      <w:tr>
        <w:tc>
          <w:tcPr>
            <w:tcW w:type="dxa" w:w="4513"/>
          </w:tcPr>
          <w:p>
            <w:r>
              <w:rPr>
                <w:rFonts w:ascii="Times New Roman" w:hAnsi="Times New Roman"/>
                <w:sz w:val="24"/>
              </w:rPr>
              <w:t>APA</w:t>
            </w:r>
          </w:p>
        </w:tc>
        <w:tc>
          <w:tcPr>
            <w:tcW w:type="dxa" w:w="4513"/>
          </w:tcPr>
          <w:p>
            <w:r>
              <w:rPr>
                <w:rFonts w:ascii="Times New Roman" w:hAnsi="Times New Roman"/>
                <w:sz w:val="24"/>
              </w:rPr>
              <w:t>American Psychological Association</w:t>
            </w:r>
          </w:p>
        </w:tc>
      </w:tr>
      <w:tr>
        <w:tc>
          <w:tcPr>
            <w:tcW w:type="dxa" w:w="4513"/>
          </w:tcPr>
          <w:p>
            <w:r>
              <w:rPr>
                <w:rFonts w:ascii="Times New Roman" w:hAnsi="Times New Roman"/>
                <w:sz w:val="24"/>
              </w:rPr>
              <w:t>CDC</w:t>
            </w:r>
          </w:p>
        </w:tc>
        <w:tc>
          <w:tcPr>
            <w:tcW w:type="dxa" w:w="4513"/>
          </w:tcPr>
          <w:p>
            <w:r>
              <w:rPr>
                <w:rFonts w:ascii="Times New Roman" w:hAnsi="Times New Roman"/>
                <w:sz w:val="24"/>
              </w:rPr>
              <w:t>Centers for Disease Control and Prevention</w:t>
            </w:r>
          </w:p>
        </w:tc>
      </w:tr>
      <w:tr>
        <w:tc>
          <w:tcPr>
            <w:tcW w:type="dxa" w:w="4513"/>
          </w:tcPr>
          <w:p>
            <w:r>
              <w:rPr>
                <w:rFonts w:ascii="Times New Roman" w:hAnsi="Times New Roman"/>
                <w:sz w:val="24"/>
              </w:rPr>
              <w:t>CI</w:t>
            </w:r>
          </w:p>
        </w:tc>
        <w:tc>
          <w:tcPr>
            <w:tcW w:type="dxa" w:w="4513"/>
          </w:tcPr>
          <w:p>
            <w:r>
              <w:rPr>
                <w:rFonts w:ascii="Times New Roman" w:hAnsi="Times New Roman"/>
                <w:sz w:val="24"/>
              </w:rPr>
              <w:t>Confidence Interval</w:t>
            </w:r>
          </w:p>
        </w:tc>
      </w:tr>
      <w:tr>
        <w:tc>
          <w:tcPr>
            <w:tcW w:type="dxa" w:w="4513"/>
          </w:tcPr>
          <w:p>
            <w:r>
              <w:rPr>
                <w:rFonts w:ascii="Times New Roman" w:hAnsi="Times New Roman"/>
                <w:sz w:val="24"/>
              </w:rPr>
              <w:t>CRAAP</w:t>
            </w:r>
          </w:p>
        </w:tc>
        <w:tc>
          <w:tcPr>
            <w:tcW w:type="dxa" w:w="4513"/>
          </w:tcPr>
          <w:p>
            <w:r>
              <w:rPr>
                <w:rFonts w:ascii="Times New Roman" w:hAnsi="Times New Roman"/>
                <w:sz w:val="24"/>
              </w:rPr>
              <w:t>Currency, Relevance, Authority, Accuracy, Purpose</w:t>
            </w:r>
          </w:p>
        </w:tc>
      </w:tr>
      <w:tr>
        <w:tc>
          <w:tcPr>
            <w:tcW w:type="dxa" w:w="4513"/>
          </w:tcPr>
          <w:p>
            <w:r>
              <w:rPr>
                <w:rFonts w:ascii="Times New Roman" w:hAnsi="Times New Roman"/>
                <w:sz w:val="24"/>
              </w:rPr>
              <w:t>DISCERN</w:t>
            </w:r>
          </w:p>
        </w:tc>
        <w:tc>
          <w:tcPr>
            <w:tcW w:type="dxa" w:w="4513"/>
          </w:tcPr>
          <w:p>
            <w:r>
              <w:rPr>
                <w:rFonts w:ascii="Times New Roman" w:hAnsi="Times New Roman"/>
                <w:sz w:val="24"/>
              </w:rPr>
              <w:t>Quality criteria for consumer health information (instrument name)</w:t>
            </w:r>
          </w:p>
        </w:tc>
      </w:tr>
      <w:tr>
        <w:tc>
          <w:tcPr>
            <w:tcW w:type="dxa" w:w="4513"/>
          </w:tcPr>
          <w:p>
            <w:r>
              <w:rPr>
                <w:rFonts w:ascii="Times New Roman" w:hAnsi="Times New Roman"/>
                <w:sz w:val="24"/>
              </w:rPr>
              <w:t>eHEALS</w:t>
            </w:r>
          </w:p>
        </w:tc>
        <w:tc>
          <w:tcPr>
            <w:tcW w:type="dxa" w:w="4513"/>
          </w:tcPr>
          <w:p>
            <w:r>
              <w:rPr>
                <w:rFonts w:ascii="Times New Roman" w:hAnsi="Times New Roman"/>
                <w:sz w:val="24"/>
              </w:rPr>
              <w:t>eHealth Literacy Scale</w:t>
            </w:r>
          </w:p>
        </w:tc>
      </w:tr>
      <w:tr>
        <w:tc>
          <w:tcPr>
            <w:tcW w:type="dxa" w:w="4513"/>
          </w:tcPr>
          <w:p>
            <w:r>
              <w:rPr>
                <w:rFonts w:ascii="Times New Roman" w:hAnsi="Times New Roman"/>
                <w:sz w:val="24"/>
              </w:rPr>
              <w:t>GQS</w:t>
            </w:r>
          </w:p>
        </w:tc>
        <w:tc>
          <w:tcPr>
            <w:tcW w:type="dxa" w:w="4513"/>
          </w:tcPr>
          <w:p>
            <w:r>
              <w:rPr>
                <w:rFonts w:ascii="Times New Roman" w:hAnsi="Times New Roman"/>
                <w:sz w:val="24"/>
              </w:rPr>
              <w:t>Global Quality Scale</w:t>
            </w:r>
          </w:p>
        </w:tc>
      </w:tr>
      <w:tr>
        <w:tc>
          <w:tcPr>
            <w:tcW w:type="dxa" w:w="4513"/>
          </w:tcPr>
          <w:p>
            <w:r>
              <w:rPr>
                <w:rFonts w:ascii="Times New Roman" w:hAnsi="Times New Roman"/>
                <w:sz w:val="24"/>
              </w:rPr>
              <w:t>HONcode</w:t>
            </w:r>
          </w:p>
        </w:tc>
        <w:tc>
          <w:tcPr>
            <w:tcW w:type="dxa" w:w="4513"/>
          </w:tcPr>
          <w:p>
            <w:r>
              <w:rPr>
                <w:rFonts w:ascii="Times New Roman" w:hAnsi="Times New Roman"/>
                <w:sz w:val="24"/>
              </w:rPr>
              <w:t>Health on the Net Foundation Code of Conduct</w:t>
            </w:r>
          </w:p>
        </w:tc>
      </w:tr>
      <w:tr>
        <w:tc>
          <w:tcPr>
            <w:tcW w:type="dxa" w:w="4513"/>
          </w:tcPr>
          <w:p>
            <w:r>
              <w:rPr>
                <w:rFonts w:ascii="Times New Roman" w:hAnsi="Times New Roman"/>
                <w:sz w:val="24"/>
              </w:rPr>
              <w:t>ICC</w:t>
            </w:r>
          </w:p>
        </w:tc>
        <w:tc>
          <w:tcPr>
            <w:tcW w:type="dxa" w:w="4513"/>
          </w:tcPr>
          <w:p>
            <w:r>
              <w:rPr>
                <w:rFonts w:ascii="Times New Roman" w:hAnsi="Times New Roman"/>
                <w:sz w:val="24"/>
              </w:rPr>
              <w:t>Intraclass Correlation Coefficient</w:t>
            </w:r>
          </w:p>
        </w:tc>
      </w:tr>
      <w:tr>
        <w:tc>
          <w:tcPr>
            <w:tcW w:type="dxa" w:w="4513"/>
          </w:tcPr>
          <w:p>
            <w:r>
              <w:rPr>
                <w:rFonts w:ascii="Times New Roman" w:hAnsi="Times New Roman"/>
                <w:sz w:val="24"/>
              </w:rPr>
              <w:t>IG</w:t>
            </w:r>
          </w:p>
        </w:tc>
        <w:tc>
          <w:tcPr>
            <w:tcW w:type="dxa" w:w="4513"/>
          </w:tcPr>
          <w:p>
            <w:r>
              <w:rPr>
                <w:rFonts w:ascii="Times New Roman" w:hAnsi="Times New Roman"/>
                <w:sz w:val="24"/>
              </w:rPr>
              <w:t>Instagram</w:t>
            </w:r>
          </w:p>
        </w:tc>
      </w:tr>
      <w:tr>
        <w:tc>
          <w:tcPr>
            <w:tcW w:type="dxa" w:w="4513"/>
          </w:tcPr>
          <w:p>
            <w:r>
              <w:rPr>
                <w:rFonts w:ascii="Times New Roman" w:hAnsi="Times New Roman"/>
                <w:sz w:val="24"/>
              </w:rPr>
              <w:t>IQ</w:t>
            </w:r>
          </w:p>
        </w:tc>
        <w:tc>
          <w:tcPr>
            <w:tcW w:type="dxa" w:w="4513"/>
          </w:tcPr>
          <w:p>
            <w:r>
              <w:rPr>
                <w:rFonts w:ascii="Times New Roman" w:hAnsi="Times New Roman"/>
                <w:sz w:val="24"/>
              </w:rPr>
              <w:t>Information Quality</w:t>
            </w:r>
          </w:p>
        </w:tc>
      </w:tr>
      <w:tr>
        <w:tc>
          <w:tcPr>
            <w:tcW w:type="dxa" w:w="4513"/>
          </w:tcPr>
          <w:p>
            <w:r>
              <w:rPr>
                <w:rFonts w:ascii="Times New Roman" w:hAnsi="Times New Roman"/>
                <w:sz w:val="24"/>
              </w:rPr>
              <w:t>IQR</w:t>
            </w:r>
          </w:p>
        </w:tc>
        <w:tc>
          <w:tcPr>
            <w:tcW w:type="dxa" w:w="4513"/>
          </w:tcPr>
          <w:p>
            <w:r>
              <w:rPr>
                <w:rFonts w:ascii="Times New Roman" w:hAnsi="Times New Roman"/>
                <w:sz w:val="24"/>
              </w:rPr>
              <w:t>Interquartile Range</w:t>
            </w:r>
          </w:p>
        </w:tc>
      </w:tr>
      <w:tr>
        <w:tc>
          <w:tcPr>
            <w:tcW w:type="dxa" w:w="4513"/>
          </w:tcPr>
          <w:p>
            <w:r>
              <w:rPr>
                <w:rFonts w:ascii="Times New Roman" w:hAnsi="Times New Roman"/>
                <w:sz w:val="24"/>
              </w:rPr>
              <w:t>JAMA</w:t>
            </w:r>
          </w:p>
        </w:tc>
        <w:tc>
          <w:tcPr>
            <w:tcW w:type="dxa" w:w="4513"/>
          </w:tcPr>
          <w:p>
            <w:r>
              <w:rPr>
                <w:rFonts w:ascii="Times New Roman" w:hAnsi="Times New Roman"/>
                <w:sz w:val="24"/>
              </w:rPr>
              <w:t>Journal of the American Medical Association</w:t>
            </w:r>
          </w:p>
        </w:tc>
      </w:tr>
      <w:tr>
        <w:tc>
          <w:tcPr>
            <w:tcW w:type="dxa" w:w="4513"/>
          </w:tcPr>
          <w:p>
            <w:r>
              <w:rPr>
                <w:rFonts w:ascii="Times New Roman" w:hAnsi="Times New Roman"/>
                <w:sz w:val="24"/>
              </w:rPr>
              <w:t>Mdn</w:t>
            </w:r>
          </w:p>
        </w:tc>
        <w:tc>
          <w:tcPr>
            <w:tcW w:type="dxa" w:w="4513"/>
          </w:tcPr>
          <w:p>
            <w:r>
              <w:rPr>
                <w:rFonts w:ascii="Times New Roman" w:hAnsi="Times New Roman"/>
                <w:sz w:val="24"/>
              </w:rPr>
              <w:t>Median</w:t>
            </w:r>
          </w:p>
        </w:tc>
      </w:tr>
      <w:tr>
        <w:tc>
          <w:tcPr>
            <w:tcW w:type="dxa" w:w="4513"/>
          </w:tcPr>
          <w:p>
            <w:r>
              <w:rPr>
                <w:rFonts w:ascii="Times New Roman" w:hAnsi="Times New Roman"/>
                <w:sz w:val="24"/>
              </w:rPr>
              <w:t>MPH</w:t>
            </w:r>
          </w:p>
        </w:tc>
        <w:tc>
          <w:tcPr>
            <w:tcW w:type="dxa" w:w="4513"/>
          </w:tcPr>
          <w:p>
            <w:r>
              <w:rPr>
                <w:rFonts w:ascii="Times New Roman" w:hAnsi="Times New Roman"/>
                <w:sz w:val="24"/>
              </w:rPr>
              <w:t>Master of Public Health</w:t>
            </w:r>
          </w:p>
        </w:tc>
      </w:tr>
      <w:tr>
        <w:tc>
          <w:tcPr>
            <w:tcW w:type="dxa" w:w="4513"/>
          </w:tcPr>
          <w:p>
            <w:r>
              <w:rPr>
                <w:rFonts w:ascii="Times New Roman" w:hAnsi="Times New Roman"/>
                <w:sz w:val="24"/>
              </w:rPr>
              <w:t>NHS</w:t>
            </w:r>
          </w:p>
        </w:tc>
        <w:tc>
          <w:tcPr>
            <w:tcW w:type="dxa" w:w="4513"/>
          </w:tcPr>
          <w:p>
            <w:r>
              <w:rPr>
                <w:rFonts w:ascii="Times New Roman" w:hAnsi="Times New Roman"/>
                <w:sz w:val="24"/>
              </w:rPr>
              <w:t>National Health Service</w:t>
            </w:r>
          </w:p>
        </w:tc>
      </w:tr>
      <w:tr>
        <w:tc>
          <w:tcPr>
            <w:tcW w:type="dxa" w:w="4513"/>
          </w:tcPr>
          <w:p>
            <w:r>
              <w:rPr>
                <w:rFonts w:ascii="Times New Roman" w:hAnsi="Times New Roman"/>
                <w:sz w:val="24"/>
              </w:rPr>
              <w:t>PA</w:t>
            </w:r>
          </w:p>
        </w:tc>
        <w:tc>
          <w:tcPr>
            <w:tcW w:type="dxa" w:w="4513"/>
          </w:tcPr>
          <w:p>
            <w:r>
              <w:rPr>
                <w:rFonts w:ascii="Times New Roman" w:hAnsi="Times New Roman"/>
                <w:sz w:val="24"/>
              </w:rPr>
              <w:t>Physical Activity</w:t>
            </w:r>
          </w:p>
        </w:tc>
      </w:tr>
      <w:tr>
        <w:tc>
          <w:tcPr>
            <w:tcW w:type="dxa" w:w="4513"/>
          </w:tcPr>
          <w:p>
            <w:r>
              <w:rPr>
                <w:rFonts w:ascii="Times New Roman" w:hAnsi="Times New Roman"/>
                <w:sz w:val="24"/>
              </w:rPr>
              <w:t>RQ</w:t>
            </w:r>
          </w:p>
        </w:tc>
        <w:tc>
          <w:tcPr>
            <w:tcW w:type="dxa" w:w="4513"/>
          </w:tcPr>
          <w:p>
            <w:r>
              <w:rPr>
                <w:rFonts w:ascii="Times New Roman" w:hAnsi="Times New Roman"/>
                <w:sz w:val="24"/>
              </w:rPr>
              <w:t>Research Question</w:t>
            </w:r>
          </w:p>
        </w:tc>
      </w:tr>
      <w:tr>
        <w:tc>
          <w:tcPr>
            <w:tcW w:type="dxa" w:w="4513"/>
          </w:tcPr>
          <w:p>
            <w:r>
              <w:rPr>
                <w:rFonts w:ascii="Times New Roman" w:hAnsi="Times New Roman"/>
                <w:sz w:val="24"/>
              </w:rPr>
              <w:t>SD</w:t>
            </w:r>
          </w:p>
        </w:tc>
        <w:tc>
          <w:tcPr>
            <w:tcW w:type="dxa" w:w="4513"/>
          </w:tcPr>
          <w:p>
            <w:r>
              <w:rPr>
                <w:rFonts w:ascii="Times New Roman" w:hAnsi="Times New Roman"/>
                <w:sz w:val="24"/>
              </w:rPr>
              <w:t>Standard Deviation</w:t>
            </w:r>
          </w:p>
        </w:tc>
      </w:tr>
      <w:tr>
        <w:tc>
          <w:tcPr>
            <w:tcW w:type="dxa" w:w="4513"/>
          </w:tcPr>
          <w:p>
            <w:r>
              <w:rPr>
                <w:rFonts w:ascii="Times New Roman" w:hAnsi="Times New Roman"/>
                <w:sz w:val="24"/>
              </w:rPr>
              <w:t>TT</w:t>
            </w:r>
          </w:p>
        </w:tc>
        <w:tc>
          <w:tcPr>
            <w:tcW w:type="dxa" w:w="4513"/>
          </w:tcPr>
          <w:p>
            <w:r>
              <w:rPr>
                <w:rFonts w:ascii="Times New Roman" w:hAnsi="Times New Roman"/>
                <w:sz w:val="24"/>
              </w:rPr>
              <w:t>TikTok</w:t>
            </w:r>
          </w:p>
        </w:tc>
      </w:tr>
      <w:tr>
        <w:tc>
          <w:tcPr>
            <w:tcW w:type="dxa" w:w="4513"/>
          </w:tcPr>
          <w:p>
            <w:r>
              <w:rPr>
                <w:rFonts w:ascii="Times New Roman" w:hAnsi="Times New Roman"/>
                <w:sz w:val="24"/>
              </w:rPr>
              <w:t>WHO</w:t>
            </w:r>
          </w:p>
        </w:tc>
        <w:tc>
          <w:tcPr>
            <w:tcW w:type="dxa" w:w="4513"/>
          </w:tcPr>
          <w:p>
            <w:r>
              <w:rPr>
                <w:rFonts w:ascii="Times New Roman" w:hAnsi="Times New Roman"/>
                <w:sz w:val="24"/>
              </w:rPr>
              <w:t>World Health Organization</w:t>
            </w:r>
          </w:p>
        </w:tc>
      </w:tr>
      <w:tr>
        <w:tc>
          <w:tcPr>
            <w:tcW w:type="dxa" w:w="4513"/>
          </w:tcPr>
          <w:p>
            <w:r>
              <w:rPr>
                <w:rFonts w:ascii="Times New Roman" w:hAnsi="Times New Roman"/>
                <w:sz w:val="24"/>
              </w:rPr>
              <w:t>WEB</w:t>
            </w:r>
          </w:p>
        </w:tc>
        <w:tc>
          <w:tcPr>
            <w:tcW w:type="dxa" w:w="4513"/>
          </w:tcPr>
          <w:p>
            <w:r>
              <w:rPr>
                <w:rFonts w:ascii="Times New Roman" w:hAnsi="Times New Roman"/>
                <w:sz w:val="24"/>
              </w:rPr>
              <w:t>Traditional Website</w:t>
            </w:r>
          </w:p>
        </w:tc>
      </w:tr>
      <w:tr>
        <w:tc>
          <w:tcPr>
            <w:tcW w:type="dxa" w:w="4513"/>
          </w:tcPr>
          <w:p>
            <w:r>
              <w:rPr>
                <w:rFonts w:ascii="Times New Roman" w:hAnsi="Times New Roman"/>
                <w:sz w:val="24"/>
              </w:rPr>
              <w:t>YT</w:t>
            </w:r>
          </w:p>
        </w:tc>
        <w:tc>
          <w:tcPr>
            <w:tcW w:type="dxa" w:w="4513"/>
          </w:tcPr>
          <w:p>
            <w:r>
              <w:rPr>
                <w:rFonts w:ascii="Times New Roman" w:hAnsi="Times New Roman"/>
                <w:sz w:val="24"/>
              </w:rPr>
              <w:t>YouTube</w:t>
            </w:r>
          </w:p>
        </w:tc>
      </w:tr>
    </w:tbl>
    <w:p>
      <w:pPr>
        <w:pStyle w:val="Heading1"/>
      </w:pPr>
      <w:r>
        <w:rPr>
          <w:rFonts w:ascii="Times New Roman" w:hAnsi="Times New Roman"/>
          <w:color w:val="000000"/>
        </w:rPr>
        <w:t>CHAPTER 1. LITERATURE REVIEW</w:t>
      </w:r>
    </w:p>
    <w:p/>
    <w:p>
      <w:pPr>
        <w:pStyle w:val="Heading2"/>
      </w:pPr>
      <w:r>
        <w:rPr>
          <w:rFonts w:ascii="Times New Roman" w:hAnsi="Times New Roman"/>
          <w:color w:val="000000"/>
        </w:rPr>
        <w:t>1.1 Digital Transformation of Health Information Seeking</w:t>
      </w:r>
    </w:p>
    <w:p/>
    <w:p>
      <w:pPr>
        <w:spacing w:line="360" w:lineRule="auto"/>
        <w:jc w:val="both"/>
      </w:pPr>
      <w:r>
        <w:rPr>
          <w:rFonts w:ascii="Times New Roman" w:hAnsi="Times New Roman"/>
          <w:sz w:val="24"/>
        </w:rPr>
        <w:t>The emergence of the internet as a primary source of health information represents one of the most consequential shifts in public health communication of the twenty-first century. Where patients once relied almost exclusively on healthcare providers, printed materials, and broadcast media for guidance on medical conditions and health behaviours, the digital era has fundamentally redistributed the locus of health information access (Eysenbach, 2002). This transformation carries profound implications for physical activity (PA) promotion, as individuals increasingly turn to online platforms to learn how, when, and why to exercise.</w:t>
      </w:r>
    </w:p>
    <w:p/>
    <w:p>
      <w:pPr>
        <w:spacing w:line="360" w:lineRule="auto"/>
        <w:jc w:val="both"/>
      </w:pPr>
      <w:r>
        <w:rPr>
          <w:rFonts w:ascii="Times New Roman" w:hAnsi="Times New Roman"/>
          <w:sz w:val="24"/>
        </w:rPr>
        <w:t>The scale of online health information seeking was established early in the digital era. Fox and Duggan (2013), reporting findings from the Pew Internet and American Life Project, found that 72% of American internet users had searched for health information online within the preceding year, and 35% had specifically attempted to self-diagnose a medical condition. These figures confirmed that seeking health information online had become a normative behaviour rather than an exception. Subsequent research has consistently reinforced this trend; Finney Rutten et al. (2019), using data from the Health Information National Trends Survey (HINTS), documented that the proportion of adults seeking health information online grew steadily between 2008 and 2017, though the percentage who did so without frustration still fell short of the Healthy People 2020 target of 45%.</w:t>
      </w:r>
    </w:p>
    <w:p/>
    <w:p>
      <w:pPr>
        <w:spacing w:line="360" w:lineRule="auto"/>
        <w:jc w:val="both"/>
      </w:pPr>
      <w:r>
        <w:rPr>
          <w:rFonts w:ascii="Times New Roman" w:hAnsi="Times New Roman"/>
          <w:sz w:val="24"/>
        </w:rPr>
        <w:t>The digital transformation of health information seeking was catalysed further by the COVID-19 pandemic, which accelerated reliance on digital channels when in-person consultations were restricted (Haghighi &amp; Farhadloo, 2025). A parallel development has been the migration of health information seeking from traditional search engines and institutional websites to social media platforms. The percentage of United States adults using social media rose from 5% in 2005 to approximately 72% by 2021 (Pew Research Center, 2021), and health-related engagement on these platforms grew in tandem. By 2022, 58.9% of American adults reported watching health-related videos on YouTube, up from 39.7% only two years earlier (Finney Rutten et al., 2019). This shift from curated, editorially controlled websites to user-generated content ecosystems has introduced new challenges for information quality assurance.</w:t>
      </w:r>
    </w:p>
    <w:p/>
    <w:p>
      <w:pPr>
        <w:spacing w:line="360" w:lineRule="auto"/>
        <w:jc w:val="both"/>
      </w:pPr>
      <w:r>
        <w:rPr>
          <w:rFonts w:ascii="Times New Roman" w:hAnsi="Times New Roman"/>
          <w:sz w:val="24"/>
        </w:rPr>
        <w:t>Eysenbach's (2002) landmark systematic review in JAMA evaluated 79 studies assessing 5,941 health websites and found that 70% of studies concluded that quality was a significant problem on the internet. This foundational finding established the evidence base for ongoing concern about the reliability of digital health information and highlighted the absence of standardised evaluation frameworks at that time. Two decades later, the landscape has grown vastly more complex: the proliferation of social media platforms, the diversification of content formats from text articles to short-form video, and the rise of influencer culture have all compounded the challenge of ensuring that the public receives accurate, evidence-based guidance on health behaviours including physical activity (Suarez-Lledo &amp; Alvarez-Galvez, 2021).</w:t>
      </w:r>
    </w:p>
    <w:p/>
    <w:p>
      <w:pPr>
        <w:spacing w:line="360" w:lineRule="auto"/>
        <w:jc w:val="both"/>
      </w:pPr>
      <w:r>
        <w:rPr>
          <w:rFonts w:ascii="Times New Roman" w:hAnsi="Times New Roman"/>
          <w:sz w:val="24"/>
        </w:rPr>
        <w:t>Critically, the shift toward digital health information seeking has not been accompanied by commensurate improvements in health literacy. Diviani et al. (2015) demonstrated through a systematic review that low health literacy is negatively associated with the ability to evaluate online health information, creating a vulnerability that is particularly relevant when platforms algorithmically prioritise engagement over accuracy. Tan and Goonawardene (2017) further found that while internet health information seeking can positively influence the patient-physician relationship, this benefit is contingent upon whether patients discuss the information with their healthcare provider, underscoring the need for high-quality digital content that can serve as a reliable complement to clinical advice.</w:t>
      </w:r>
    </w:p>
    <w:p/>
    <w:p>
      <w:pPr>
        <w:pStyle w:val="Heading2"/>
      </w:pPr>
      <w:r>
        <w:rPr>
          <w:rFonts w:ascii="Times New Roman" w:hAnsi="Times New Roman"/>
          <w:color w:val="000000"/>
        </w:rPr>
        <w:t>1.2 Theoretical Frameworks</w:t>
      </w:r>
    </w:p>
    <w:p/>
    <w:p>
      <w:pPr>
        <w:spacing w:line="360" w:lineRule="auto"/>
        <w:jc w:val="both"/>
      </w:pPr>
      <w:r>
        <w:rPr>
          <w:rFonts w:ascii="Times New Roman" w:hAnsi="Times New Roman"/>
          <w:sz w:val="24"/>
        </w:rPr>
        <w:t>Several theoretical frameworks underpin the study of health information quality in digital environments. Together, they provide a multidimensional lens through which the quality of physical activity information across platforms can be understood and assessed.</w:t>
      </w:r>
    </w:p>
    <w:p/>
    <w:p>
      <w:pPr>
        <w:spacing w:line="360" w:lineRule="auto"/>
        <w:jc w:val="both"/>
      </w:pPr>
      <w:r>
        <w:rPr>
          <w:rFonts w:ascii="Times New Roman" w:hAnsi="Times New Roman"/>
          <w:sz w:val="24"/>
        </w:rPr>
        <w:t>The Information Quality (IQ) Framework developed by Wang and Strong (1996) constitutes one of the most widely cited conceptualisations of data quality from the consumer perspective. Their empirical study identified 15 quality dimensions organised into four categories: intrinsic quality (accuracy, objectivity, believability, reputation), contextual quality (relevance, value-added, timeliness, completeness, amount of information), representational quality (interpretability, ease of understanding, concise representation, consistent representation), and accessibility quality (accessibility, access security). The framework's emphasis on consumer-defined quality is particularly relevant to health information research, as it shifts the evaluative lens from producer intentions to user needs. When applied to physical activity information online, the IQ Framework highlights that accuracy alone is insufficient; information must also be timely, relevant, interpretable, and accessible to diverse audiences.</w:t>
      </w:r>
    </w:p>
    <w:p/>
    <w:p>
      <w:pPr>
        <w:spacing w:line="360" w:lineRule="auto"/>
        <w:jc w:val="both"/>
      </w:pPr>
      <w:r>
        <w:rPr>
          <w:rFonts w:ascii="Times New Roman" w:hAnsi="Times New Roman"/>
          <w:sz w:val="24"/>
        </w:rPr>
        <w:t>Norman and Skinner (2006) extended the concept of health literacy to the digital environment through the development of the eHealth Literacy Scale (eHEALS). They defined eHealth literacy as the ability to seek, find, understand, and appraise health information from electronic sources and apply the knowledge gained to addressing or solving a health problem. The eHEALS is an eight-item self-report measure that assesses consumers' perceived skills and comfort with using digital health resources. Norman and Skinner's model recognises that eHealth literacy is itself a composite construct drawing upon six underlying literacies: traditional literacy, health literacy, information literacy, scientific literacy, media literacy, and computer literacy. This multifaceted conceptualisation is essential for understanding why consumers may struggle to critically evaluate PA information that appears in varying formats across platforms with different interface designs, algorithmic curation strategies, and content norms.</w:t>
      </w:r>
    </w:p>
    <w:p/>
    <w:p>
      <w:pPr>
        <w:spacing w:line="360" w:lineRule="auto"/>
        <w:jc w:val="both"/>
      </w:pPr>
      <w:r>
        <w:rPr>
          <w:rFonts w:ascii="Times New Roman" w:hAnsi="Times New Roman"/>
          <w:sz w:val="24"/>
        </w:rPr>
        <w:t>The CRAAP Test, developed by Blakeslee and librarians at California State University, Chico, in 2004, provides a practical heuristic for evaluating information sources across five dimensions: Currency, Relevance, Authority, Accuracy, and Purpose (Blakeslee, 2004). While originally designed for academic information literacy instruction, the CRAAP Test has been adopted in health literacy contexts because its criteria map closely onto the quality indicators used in formal health information assessment instruments such as DISCERN and the JAMA Benchmarks (Sbaffi &amp; Rowley, 2017). The Currency criterion, for example, parallels the JAMA currency benchmark, while Authority aligns with the authorship criterion. The CRAAP Test thus serves as a bridge between general information literacy and the domain-specific assessment of health content.</w:t>
      </w:r>
    </w:p>
    <w:p/>
    <w:p>
      <w:pPr>
        <w:spacing w:line="360" w:lineRule="auto"/>
        <w:jc w:val="both"/>
      </w:pPr>
      <w:r>
        <w:rPr>
          <w:rFonts w:ascii="Times New Roman" w:hAnsi="Times New Roman"/>
          <w:sz w:val="24"/>
        </w:rPr>
        <w:t>The Health Belief Model (HBM), originally formulated by Rosenstock (1974) and colleagues at the United States Public Health Service in the 1950s, provides a theoretical basis for understanding why individuals seek health information and how the quality of that information may influence health behaviour. The HBM posits that health behaviour is determined by perceived susceptibility to a health threat, perceived severity of that threat, perceived benefits of taking action, perceived barriers to action, cues to action, and self-efficacy (Rosenstock, 1974). In the context of physical activity, the model suggests that individuals who perceive themselves as at risk of sedentary-behaviour-related health consequences (e.g., cardiovascular disease, obesity) and who believe in the benefits of exercise are more likely to seek PA information online. The quality of the information they encounter may then moderate their perceived self-efficacy and perceived barriers, ultimately influencing whether they adopt and maintain physically active lifestyles. Thus, poor-quality PA information on digital platforms may not merely misinform but may actively undermine the motivational pathways that the HBM describes.</w:t>
      </w:r>
    </w:p>
    <w:p/>
    <w:p>
      <w:pPr>
        <w:pStyle w:val="Heading2"/>
      </w:pPr>
      <w:r>
        <w:rPr>
          <w:rFonts w:ascii="Times New Roman" w:hAnsi="Times New Roman"/>
          <w:color w:val="000000"/>
        </w:rPr>
        <w:t>1.3 Traditional Websites as Sources of Health and Physical Activity Information</w:t>
      </w:r>
    </w:p>
    <w:p/>
    <w:p>
      <w:pPr>
        <w:spacing w:line="360" w:lineRule="auto"/>
        <w:jc w:val="both"/>
      </w:pPr>
      <w:r>
        <w:rPr>
          <w:rFonts w:ascii="Times New Roman" w:hAnsi="Times New Roman"/>
          <w:sz w:val="24"/>
        </w:rPr>
        <w:t>Traditional websites, defined here as content published on the open web and indexed by search engines such as Google, have historically served as the primary digital channel for health information dissemination. These include institutional websites maintained by governmental health agencies (e.g., the World Health Organization, the National Health Service, the Centers for Disease Control and Prevention), professional medical organisations, academic medical centres, patient advocacy groups, and commercial health publishers.</w:t>
      </w:r>
    </w:p>
    <w:p/>
    <w:p>
      <w:pPr>
        <w:spacing w:line="360" w:lineRule="auto"/>
        <w:jc w:val="both"/>
      </w:pPr>
      <w:r>
        <w:rPr>
          <w:rFonts w:ascii="Times New Roman" w:hAnsi="Times New Roman"/>
          <w:sz w:val="24"/>
        </w:rPr>
        <w:t>The quality of health information on traditional websites has been the subject of extensive evaluation since the late 1990s. The Health on the Net Foundation (HON) developed the HONcode certification system to promote transparency and ethical standards among health website publishers. Boyer et al. (2011) reported that 89% of HONcode-certified websites complied with the eight HONcode principles, compared with only 0.6% of non-certified health websites, illustrating a stark quality divide. However, HONcode certification was voluntary and not universally adopted, meaning that consumers had no reliable mechanism for identifying trustworthy websites without actively checking certification status.</w:t>
      </w:r>
    </w:p>
    <w:p/>
    <w:p>
      <w:pPr>
        <w:spacing w:line="360" w:lineRule="auto"/>
        <w:jc w:val="both"/>
      </w:pPr>
      <w:r>
        <w:rPr>
          <w:rFonts w:ascii="Times New Roman" w:hAnsi="Times New Roman"/>
          <w:sz w:val="24"/>
        </w:rPr>
        <w:t>Daraz et al. (2019) conducted a meta-narrative systematic review of 153 cross-sectional studies evaluating 11,785 health websites using 14 quality assessment tools. Their findings were sobering: using DISCERN, none of the evaluated websites achieved a rating of excellent, 37-79% were rated as good, and the remainder were rated as poor. Government organisation websites received the highest mean DISCERN scores (71%, equivalent to very good), academic organisations received scores of 62% (good), and media-related sources received the lowest scores at 44% (poor). These findings underscore that while traditional websites are generally higher in quality than user-generated social media content, there remains substantial variability in quality even within this category.</w:t>
      </w:r>
    </w:p>
    <w:p/>
    <w:p>
      <w:pPr>
        <w:spacing w:line="360" w:lineRule="auto"/>
        <w:jc w:val="both"/>
      </w:pPr>
      <w:r>
        <w:rPr>
          <w:rFonts w:ascii="Times New Roman" w:hAnsi="Times New Roman"/>
          <w:sz w:val="24"/>
        </w:rPr>
        <w:t>With specific reference to physical activity information, the World Health Organization's (2020) guidelines on physical activity and sedentary behaviour represent the gold standard for evidence-based PA recommendations, prescribing 150-300 minutes of moderate-intensity or 75-150 minutes of vigorous-intensity aerobic activity per week for adults. Institutional websites that accurately reflect these guidelines provide a critical public health resource. However, commercial websites and content aggregators may present PA information that is incomplete, sensationalised, or influenced by commercial interests, potentially leading consumers toward ineffective or unsafe exercise practices.</w:t>
      </w:r>
    </w:p>
    <w:p/>
    <w:p>
      <w:pPr>
        <w:pStyle w:val="Heading2"/>
      </w:pPr>
      <w:r>
        <w:rPr>
          <w:rFonts w:ascii="Times New Roman" w:hAnsi="Times New Roman"/>
          <w:color w:val="000000"/>
        </w:rPr>
        <w:t>1.4 Social Media Platforms as Sources of Health Information</w:t>
      </w:r>
    </w:p>
    <w:p/>
    <w:p>
      <w:pPr>
        <w:spacing w:line="360" w:lineRule="auto"/>
        <w:jc w:val="both"/>
      </w:pPr>
      <w:r>
        <w:rPr>
          <w:rFonts w:ascii="Times New Roman" w:hAnsi="Times New Roman"/>
          <w:sz w:val="24"/>
        </w:rPr>
        <w:t>The role of social media in health communication has expanded dramatically in the past decade. Moorhead et al. (2013), in a seminal systematic review of 98 studies, identified seven primary uses of social media for health communication, including increasing interactions with others, facilitating and sharing health messages, and enhancing accessibility of health information. They concluded that social media holds considerable potential for health communication but cautioned that information quality and reliability require continuous monitoring.</w:t>
      </w:r>
    </w:p>
    <w:p/>
    <w:p>
      <w:pPr>
        <w:spacing w:line="360" w:lineRule="auto"/>
        <w:jc w:val="both"/>
      </w:pPr>
      <w:r>
        <w:rPr>
          <w:rFonts w:ascii="Times New Roman" w:hAnsi="Times New Roman"/>
          <w:sz w:val="24"/>
        </w:rPr>
        <w:t>Each major social media platform possesses distinct characteristics that shape the nature and quality of health content. YouTube, as the world's largest video-sharing platform, supports long-form educational content and has become a major source of exercise tutorials and health information. However, its algorithmic recommendation system prioritises engagement metrics such as views, watch time, and click-through rates, which do not necessarily correlate with accuracy or quality (Li et al., 2024). A 2022 study evaluating YouTube videos recommending exercises during the COVID-19 lockdown found mean DISCERN scores of only 2.29 out of 5 and mean Global Quality Scale (GQS) scores of 2.32, indicating low overall quality (Czenczek-Lewandowska et al., 2022).</w:t>
      </w:r>
    </w:p>
    <w:p/>
    <w:p>
      <w:pPr>
        <w:spacing w:line="360" w:lineRule="auto"/>
        <w:jc w:val="both"/>
      </w:pPr>
      <w:r>
        <w:rPr>
          <w:rFonts w:ascii="Times New Roman" w:hAnsi="Times New Roman"/>
          <w:sz w:val="24"/>
        </w:rPr>
        <w:t>TikTok has emerged as a particularly influential platform for younger demographics, with its short-form video format (typically under 60 seconds) enabling rapid dissemination of health-related content. Li et al. (2024), in a scoping review of 29 studies, found that the quality of most health-related short videos on TikTok was moderate to low, and that DISCERN was the most frequently used evaluation tool across studies, appearing in 24 of the 29 included papers. Critically, the authors noted that most existing quality assessment tools were not designed for short-form video content, raising questions about the validity of applying text-based instruments to multimedia formats. Research has also indicated that only a small minority of TikTok health content is produced by medical professionals, with the majority originating from general users and non-medical influencers (Dinis-Oliveira, 2020).</w:t>
      </w:r>
    </w:p>
    <w:p/>
    <w:p>
      <w:pPr>
        <w:spacing w:line="360" w:lineRule="auto"/>
        <w:jc w:val="both"/>
      </w:pPr>
      <w:r>
        <w:rPr>
          <w:rFonts w:ascii="Times New Roman" w:hAnsi="Times New Roman"/>
          <w:sz w:val="24"/>
        </w:rPr>
        <w:t>Instagram's visual-first architecture, centred on images and short captions with a secondary carousel and Reels format, presents unique challenges for health information quality. Research on Brazilian fitness influencers found that prominent Instagram accounts disseminate low-quality information about exercise and health, with only 2.7% of analysed posts citing any scientific reference (Dos Santos et al., 2021). The platform's influencer culture, in which content creators build large followings and monetise their reach through brand partnerships, creates financial incentives that may conflict with evidence-based health communication. As Pilgrim and Bohnet-Joschko (2022) observed, influencers can earn more revenue by creating content that maximises engagement, and misinformation has been linked to higher levels of user engagement.</w:t>
      </w:r>
    </w:p>
    <w:p/>
    <w:p>
      <w:pPr>
        <w:spacing w:line="360" w:lineRule="auto"/>
        <w:jc w:val="both"/>
      </w:pPr>
      <w:r>
        <w:rPr>
          <w:rFonts w:ascii="Times New Roman" w:hAnsi="Times New Roman"/>
          <w:sz w:val="24"/>
        </w:rPr>
        <w:t>The prevalence of health misinformation on social media is well documented. Suarez-Lledo and Alvarez-Galvez (2021), in a systematic review of studies published before March 2019, found that misinformation was most prevalent for content related to smoking products and drugs (reaching 87% in some studies) and vaccines (43%). While physical activity misinformation has received comparatively less attention, the structural incentives for engagement-driven content and the low barriers to publishing health advice on social media platforms suggest that PA information is similarly vulnerable to quality deficits.</w:t>
      </w:r>
    </w:p>
    <w:p/>
    <w:p>
      <w:pPr>
        <w:pStyle w:val="Heading2"/>
      </w:pPr>
      <w:r>
        <w:rPr>
          <w:rFonts w:ascii="Times New Roman" w:hAnsi="Times New Roman"/>
          <w:color w:val="000000"/>
        </w:rPr>
        <w:t>1.5 Quality Assessment Tools and Cross-Platform Applicability</w:t>
      </w:r>
    </w:p>
    <w:p/>
    <w:p>
      <w:pPr>
        <w:spacing w:line="360" w:lineRule="auto"/>
        <w:jc w:val="both"/>
      </w:pPr>
      <w:r>
        <w:rPr>
          <w:rFonts w:ascii="Times New Roman" w:hAnsi="Times New Roman"/>
          <w:sz w:val="24"/>
        </w:rPr>
        <w:t>Two instruments occupy a central position in the assessment of consumer health information quality: the DISCERN instrument and the JAMA Benchmarks.</w:t>
      </w:r>
    </w:p>
    <w:p/>
    <w:p>
      <w:pPr>
        <w:spacing w:line="360" w:lineRule="auto"/>
        <w:jc w:val="both"/>
      </w:pPr>
      <w:r>
        <w:rPr>
          <w:rFonts w:ascii="Times New Roman" w:hAnsi="Times New Roman"/>
          <w:sz w:val="24"/>
        </w:rPr>
        <w:t>DISCERN was developed by Charnock et al. (1999) at the University of Oxford as a standardised tool for judging the quality of written consumer health information about treatment choices. The instrument comprises 16 items: questions 1 through 8 assess the reliability of the publication (Section 1), questions 9 through 15 evaluate the quality of information about treatment choices (Section 2), and question 16 provides an overall quality rating (Section 3). Each item is scored on a scale from 1 (definite no) to 5 (definite yes), yielding a total score range of 16 to 80. The instrument was validated through a multi-stage process involving expert panels, health information providers, and self-help group members, and has demonstrated acceptable inter-rater reliability (Charnock et al., 1999). DISCERN has subsequently become the most widely used tool for evaluating health information quality, with applications spanning websites, YouTube videos, and social media posts across a broad range of health topics (Li et al., 2024).</w:t>
      </w:r>
    </w:p>
    <w:p/>
    <w:p>
      <w:pPr>
        <w:spacing w:line="360" w:lineRule="auto"/>
        <w:jc w:val="both"/>
      </w:pPr>
      <w:r>
        <w:rPr>
          <w:rFonts w:ascii="Times New Roman" w:hAnsi="Times New Roman"/>
          <w:sz w:val="24"/>
        </w:rPr>
        <w:t>The JAMA Benchmarks were proposed by Silberg et al. (1997) as a set of four core standards for health information published on the internet: authorship (identification of authors and their credentials), attribution (clear listing of references and sources), disclosure (transparent declaration of sponsorship, conflicts of interest, and funding), and currency (indication of content creation and update dates). The JAMA Benchmarks are scored as binary criteria (present or absent), yielding a total score of 0 to 4. Their streamlined nature makes them efficient for rapid quality screening, and they complement the more detailed DISCERN assessment by capturing essential transparency indicators.</w:t>
      </w:r>
    </w:p>
    <w:p/>
    <w:p>
      <w:pPr>
        <w:spacing w:line="360" w:lineRule="auto"/>
        <w:jc w:val="both"/>
      </w:pPr>
      <w:r>
        <w:rPr>
          <w:rFonts w:ascii="Times New Roman" w:hAnsi="Times New Roman"/>
          <w:sz w:val="24"/>
        </w:rPr>
        <w:t>The Global Quality Scale (GQS), developed by Bernard et al. (2007), provides a five-point Likert assessment of overall information quality and usefulness, and has been shown to correlate strongly with DISCERN (r = 0.88). The GQS has been widely adopted for evaluating health video content, particularly on YouTube (Li et al., 2024).</w:t>
      </w:r>
    </w:p>
    <w:p/>
    <w:p>
      <w:pPr>
        <w:spacing w:line="360" w:lineRule="auto"/>
        <w:jc w:val="both"/>
      </w:pPr>
      <w:r>
        <w:rPr>
          <w:rFonts w:ascii="Times New Roman" w:hAnsi="Times New Roman"/>
          <w:sz w:val="24"/>
        </w:rPr>
        <w:t>A significant methodological challenge in contemporary health information research is the adaptation of these instruments, all originally developed for text-based content, to multimedia and short-form video formats. Li et al. (2024) noted that most tools used to assess TikTok health videos were not developed for short-form video content and lacked credibility testing in that context. The DISCERN instrument, for example, asks whether the publication refers to areas of uncertainty, a question that may be difficult to operationalise for a 30-second TikTok video. Similarly, the JAMA authorship criterion requires assessment of whether authors and their credentials are identified, which must be reinterpreted for social media contexts where the creator's bio or verification status serves as a proxy for credentialing. These adaptations, while necessary for cross-platform research, introduce a degree of measurement heterogeneity that must be acknowledged in study design and interpretation. For social media content, researchers have operationalised JAMA criteria such that authorship is satisfied when a creator's bio states professional credentials or the account is a verified professional account, attribution is met when sources are cited in captions or shown on screen, disclosure is met when sponsorships or partnerships are declared, and currency is typically automatically satisfied because social media posts display publication dates.</w:t>
      </w:r>
    </w:p>
    <w:p/>
    <w:p>
      <w:pPr>
        <w:pStyle w:val="Heading2"/>
      </w:pPr>
      <w:r>
        <w:rPr>
          <w:rFonts w:ascii="Times New Roman" w:hAnsi="Times New Roman"/>
          <w:color w:val="000000"/>
        </w:rPr>
        <w:t>1.6 Evidence for the Quality Gap and Moderating Factors</w:t>
      </w:r>
    </w:p>
    <w:p/>
    <w:p>
      <w:pPr>
        <w:spacing w:line="360" w:lineRule="auto"/>
        <w:jc w:val="both"/>
      </w:pPr>
      <w:r>
        <w:rPr>
          <w:rFonts w:ascii="Times New Roman" w:hAnsi="Times New Roman"/>
          <w:sz w:val="24"/>
        </w:rPr>
        <w:t>A growing body of evidence documents systematic quality differences between health information published on traditional websites and that disseminated through social media platforms. A 2025 meta-analysis published in the Journal of Medical Internet Research, analysing 75 studies encompassing 297,519 posts across 15 platforms, reported a pooled DISCERN score of 43.58 out of 100 (95% CI: 37.80-49.35) for cancer-related information on new media, with approximately 27% of posts containing misinformation (Chen et al., 2025). The analysis further found that studies focusing on video-based media were statistically less likely to yield higher quality conclusions compared with those on text-based media, suggesting a format-dependent quality gradient.</w:t>
      </w:r>
    </w:p>
    <w:p/>
    <w:p>
      <w:pPr>
        <w:spacing w:line="360" w:lineRule="auto"/>
        <w:jc w:val="both"/>
      </w:pPr>
      <w:r>
        <w:rPr>
          <w:rFonts w:ascii="Times New Roman" w:hAnsi="Times New Roman"/>
          <w:sz w:val="24"/>
        </w:rPr>
        <w:t>Platform-specific studies reinforce this pattern. Haghighi and Farhadloo (2025), in a cross-sectional analysis of the top 100 health-related websites most frequently shared on Twitter during the early COVID-19 pandemic, found that 81% received low DISCERN scores and 95% met only two of the four JAMA benchmark criteria. No website met all four JAMA criteria, and only five met three. These findings highlight that even the curated content surfacing through social media sharing is of questionable quality. On TikTok, research has consistently demonstrated low overall quality of health content, with the platform's short-form format constraining the depth and nuance of health information that can be conveyed (Li et al., 2024).</w:t>
      </w:r>
    </w:p>
    <w:p/>
    <w:p>
      <w:pPr>
        <w:spacing w:line="360" w:lineRule="auto"/>
        <w:jc w:val="both"/>
      </w:pPr>
      <w:r>
        <w:rPr>
          <w:rFonts w:ascii="Times New Roman" w:hAnsi="Times New Roman"/>
          <w:sz w:val="24"/>
        </w:rPr>
        <w:t>Creator type has emerged as an important moderator of health information quality. Content produced by healthcare professionals and medical organisations generally scores higher on quality assessment tools than content produced by non-medical influencers and general users (Daraz et al., 2019; Li et al., 2024). However, the proportion of health content created by qualified professionals varies dramatically across platforms. On TikTok, research suggests that medical professionals account for only a minority of health content creators, with the majority being general users or non-medical influencers (Dinis-Oliveira, 2020). On Instagram, even creators with relevant academic qualifications rarely cite scientific evidence; Dos Santos et al. (2021) found that only 2.7% of posts by major Brazilian fitness influencers included references. This pattern suggests that platform culture and incentive structures may override individual creator qualifications in determining information quality.</w:t>
      </w:r>
    </w:p>
    <w:p/>
    <w:p>
      <w:pPr>
        <w:spacing w:line="360" w:lineRule="auto"/>
        <w:jc w:val="both"/>
      </w:pPr>
      <w:r>
        <w:rPr>
          <w:rFonts w:ascii="Times New Roman" w:hAnsi="Times New Roman"/>
          <w:sz w:val="24"/>
        </w:rPr>
        <w:t>The relationship between engagement metrics and information quality represents a particularly concerning dimension of the quality gap. Research has demonstrated that exposure to social engagement metrics (likes, shares, views) increases users' vulnerability to misinformation by creating a perceived credibility that is independent of actual content quality (Avram et al., 2020). Content that generates emotional responses, whether through sensationalism, controversy, or aspirational imagery, tends to receive higher engagement than evidence-based but less emotionally stimulating content (Pilgrim &amp; Bohnet-Joschko, 2022). This creates a structural misalignment between platform incentive systems, which reward engagement, and public health objectives, which require accuracy. For physical activity content specifically, this dynamic may lead to the amplification of extreme exercise regimens, unsupported supplement claims, or unrealistic body-image content at the expense of evidence-based guidelines such as those issued by the World Health Organization (2020).</w:t>
      </w:r>
    </w:p>
    <w:p/>
    <w:p>
      <w:pPr>
        <w:pStyle w:val="Heading2"/>
      </w:pPr>
      <w:r>
        <w:rPr>
          <w:rFonts w:ascii="Times New Roman" w:hAnsi="Times New Roman"/>
          <w:color w:val="000000"/>
        </w:rPr>
        <w:t>1.7 Summary and Rationale for the Present Study</w:t>
      </w:r>
    </w:p>
    <w:p/>
    <w:p>
      <w:pPr>
        <w:spacing w:line="360" w:lineRule="auto"/>
        <w:jc w:val="both"/>
      </w:pPr>
      <w:r>
        <w:rPr>
          <w:rFonts w:ascii="Times New Roman" w:hAnsi="Times New Roman"/>
          <w:sz w:val="24"/>
        </w:rPr>
        <w:t>The literature reviewed in this chapter establishes several key findings. First, online health information seeking is now a normative behaviour, with the majority of adults regularly consulting digital sources for health guidance, including physical activity information. Second, the migration from traditional websites to social media platforms has introduced new quality challenges, as user-generated content, algorithmic curation, and engagement-driven incentive structures create conditions favourable to the proliferation of low-quality and misleading health information. Third, established quality assessment instruments, particularly DISCERN and the JAMA Benchmarks, provide reliable and validated tools for evaluating health information, though their application to multimedia and short-form video content requires careful operationalisation. Fourth, the existing evidence consistently indicates that health information quality on social media is generally lower than on traditional websites, with substantial variability by platform type, creator qualifications, and content format.</w:t>
      </w:r>
    </w:p>
    <w:p/>
    <w:p>
      <w:pPr>
        <w:spacing w:line="360" w:lineRule="auto"/>
        <w:jc w:val="both"/>
      </w:pPr>
      <w:r>
        <w:rPr>
          <w:rFonts w:ascii="Times New Roman" w:hAnsi="Times New Roman"/>
          <w:sz w:val="24"/>
        </w:rPr>
        <w:t>Despite the breadth of this literature, a significant gap remains. To date, no single study has conducted a head-to-head comparison of physical activity information quality across all four major platform types, namely traditional websites, YouTube, TikTok, and Instagram, using both DISCERN and JAMA Benchmarks within a unified methodological framework. Existing studies have typically examined one or two platforms, focused on a specific health condition rather than general physical activity content, or used only one quality assessment instrument. The absence of a comprehensive, multi-platform comparison limits the ability to draw actionable conclusions about where the greatest quality deficits lie and what factors, such as creator type and engagement metrics, may moderate quality across the digital information ecosystem.</w:t>
      </w:r>
    </w:p>
    <w:p/>
    <w:p>
      <w:pPr>
        <w:spacing w:line="360" w:lineRule="auto"/>
        <w:jc w:val="both"/>
      </w:pPr>
      <w:r>
        <w:rPr>
          <w:rFonts w:ascii="Times New Roman" w:hAnsi="Times New Roman"/>
          <w:sz w:val="24"/>
        </w:rPr>
        <w:t>The present study addresses this gap by conducting a cross-sectional content analysis of 200 items (50 per platform) across traditional websites, YouTube, TikTok, and Instagram, applying both the DISCERN instrument and JAMA Benchmarks to assess physical activity information quality. The study is guided by three research questions:</w:t>
      </w:r>
    </w:p>
    <w:p/>
    <w:p>
      <w:pPr>
        <w:spacing w:line="360" w:lineRule="auto"/>
        <w:ind w:left="720"/>
        <w:jc w:val="both"/>
      </w:pPr>
      <w:r>
        <w:rPr>
          <w:rFonts w:ascii="Times New Roman" w:hAnsi="Times New Roman"/>
          <w:sz w:val="24"/>
        </w:rPr>
        <w:t>1. How does physical activity information quality differ between traditional websites and social media platforms as measured by DISCERN and JAMA benchmarks?</w:t>
      </w:r>
    </w:p>
    <w:p>
      <w:pPr>
        <w:spacing w:line="360" w:lineRule="auto"/>
        <w:ind w:left="720"/>
        <w:jc w:val="both"/>
      </w:pPr>
      <w:r>
        <w:rPr>
          <w:rFonts w:ascii="Times New Roman" w:hAnsi="Times New Roman"/>
          <w:sz w:val="24"/>
        </w:rPr>
        <w:t>2. Does creator type (healthcare professional versus fitness influencer versus general user) moderate quality scores?</w:t>
      </w:r>
    </w:p>
    <w:p>
      <w:pPr>
        <w:spacing w:line="360" w:lineRule="auto"/>
        <w:ind w:left="720"/>
        <w:jc w:val="both"/>
      </w:pPr>
      <w:r>
        <w:rPr>
          <w:rFonts w:ascii="Times New Roman" w:hAnsi="Times New Roman"/>
          <w:sz w:val="24"/>
        </w:rPr>
        <w:t>3. What is the relationship between engagement metrics (views, likes, shares) and information quality?</w:t>
      </w:r>
    </w:p>
    <w:p/>
    <w:p>
      <w:pPr>
        <w:spacing w:line="360" w:lineRule="auto"/>
        <w:jc w:val="both"/>
      </w:pPr>
      <w:r>
        <w:rPr>
          <w:rFonts w:ascii="Times New Roman" w:hAnsi="Times New Roman"/>
          <w:sz w:val="24"/>
        </w:rPr>
        <w:t>By addressing these questions within a single, standardised methodological framework, this study aims to provide the most comprehensive cross-platform assessment of physical activity information quality to date, generating evidence that can inform platform-level interventions, health literacy initiatives, and clinical guidance on directing patients toward reliable digital PA resources.</w:t>
      </w:r>
    </w:p>
    <w:p/>
    <w:p/>
    <w:p>
      <w:pPr>
        <w:spacing w:before="0" w:after="240" w:line="360" w:lineRule="auto"/>
        <w:jc w:val="center"/>
      </w:pPr>
      <w:r>
        <w:rPr>
          <w:rFonts w:ascii="Times New Roman" w:hAnsi="Times New Roman" w:cs="Times New Roman"/>
          <w:rFonts w:ascii="Times New Roman" w:hAnsi="Times New Roman"/>
          <w:b/>
          <w:i w:val="0"/>
          <w:sz w:val="28"/>
        </w:rPr>
        <w:t>CHAPTER 2. RESEARCH METHODOLOGY</w:t>
      </w:r>
    </w:p>
    <w:p>
      <w:pPr>
        <w:spacing w:before="0" w:after="120" w:line="360" w:lineRule="auto"/>
        <w:ind w:firstLine="720"/>
        <w:jc w:val="both"/>
      </w:pPr>
      <w:r>
        <w:rPr>
          <w:rFonts w:ascii="Times New Roman" w:hAnsi="Times New Roman" w:cs="Times New Roman"/>
          <w:rFonts w:ascii="Times New Roman" w:hAnsi="Times New Roman"/>
          <w:b w:val="0"/>
          <w:i w:val="0"/>
          <w:sz w:val="24"/>
        </w:rPr>
        <w:t>This chapter presents the methodological framework employed to investigate the quality of physical activity (PA) information across traditional websites and social media platforms. The research methodology encompasses the research object, strategy and logic, nature of the research, description of research subjects, data collection and assessment methods, organisational procedures, and statistical analysis techniques. Each component is detailed to ensure transparency, replicability, and methodological rigour in alignment with established standards for content analysis in health communication research.</w:t>
      </w:r>
    </w:p>
    <w:p>
      <w:pPr>
        <w:spacing w:before="240" w:after="120" w:line="360" w:lineRule="auto"/>
        <w:jc w:val="left"/>
      </w:pPr>
      <w:r>
        <w:rPr>
          <w:rFonts w:ascii="Times New Roman" w:hAnsi="Times New Roman" w:cs="Times New Roman"/>
          <w:rFonts w:ascii="Times New Roman" w:hAnsi="Times New Roman"/>
          <w:b/>
          <w:i w:val="0"/>
          <w:sz w:val="24"/>
        </w:rPr>
        <w:t>2.1 Research Object</w:t>
      </w:r>
    </w:p>
    <w:p>
      <w:pPr>
        <w:spacing w:before="0" w:after="120" w:line="360" w:lineRule="auto"/>
        <w:ind w:firstLine="720"/>
        <w:jc w:val="both"/>
      </w:pPr>
      <w:r>
        <w:rPr>
          <w:rFonts w:ascii="Times New Roman" w:hAnsi="Times New Roman" w:cs="Times New Roman"/>
          <w:rFonts w:ascii="Times New Roman" w:hAnsi="Times New Roman"/>
          <w:b w:val="0"/>
          <w:i w:val="0"/>
          <w:sz w:val="24"/>
        </w:rPr>
        <w:t>The research object of the present study is the quality of physical activity information available on traditional websites and social media platforms. Specifically, this investigation examines health-related content pertaining to physical activity that is publicly accessible through Google search results (representing traditional web-based information), YouTube, TikTok, and Instagram (representing contemporary social media platforms). Physical activity information is defined as any content that provides guidance, recommendations, instructions, or educational material regarding exercise, fitness, or physical activity behaviours intended for a general adult audience.</w:t>
      </w:r>
    </w:p>
    <w:p>
      <w:pPr>
        <w:spacing w:before="0" w:after="120" w:line="360" w:lineRule="auto"/>
        <w:ind w:firstLine="720"/>
        <w:jc w:val="both"/>
      </w:pPr>
      <w:r>
        <w:rPr>
          <w:rFonts w:ascii="Times New Roman" w:hAnsi="Times New Roman" w:cs="Times New Roman"/>
          <w:rFonts w:ascii="Times New Roman" w:hAnsi="Times New Roman"/>
          <w:b w:val="0"/>
          <w:i w:val="0"/>
          <w:sz w:val="24"/>
        </w:rPr>
        <w:t>The assessment of information quality is operationalised through two established benchmarks: the DISCERN instrument (Charnock et al., 1999), which evaluates the reliability and completeness of health information, and the JAMA benchmarks (Silberg et al., 1997), which assess accountability standards including authorship, attribution, disclosure, and currency. Together, these instruments provide a comprehensive evaluation framework that captures both the substantive quality and the transparency of health information across diverse digital platforms.</w:t>
      </w:r>
    </w:p>
    <w:p>
      <w:pPr>
        <w:spacing w:before="240" w:after="120" w:line="360" w:lineRule="auto"/>
        <w:jc w:val="left"/>
      </w:pPr>
      <w:r>
        <w:rPr>
          <w:rFonts w:ascii="Times New Roman" w:hAnsi="Times New Roman" w:cs="Times New Roman"/>
          <w:rFonts w:ascii="Times New Roman" w:hAnsi="Times New Roman"/>
          <w:b/>
          <w:i w:val="0"/>
          <w:sz w:val="24"/>
        </w:rPr>
        <w:t>2.2 Research Strategy and Logic</w:t>
      </w:r>
    </w:p>
    <w:p>
      <w:pPr>
        <w:spacing w:before="0" w:after="120" w:line="360" w:lineRule="auto"/>
        <w:ind w:firstLine="720"/>
        <w:jc w:val="both"/>
      </w:pPr>
      <w:r>
        <w:rPr>
          <w:rFonts w:ascii="Times New Roman" w:hAnsi="Times New Roman" w:cs="Times New Roman"/>
          <w:rFonts w:ascii="Times New Roman" w:hAnsi="Times New Roman"/>
          <w:b w:val="0"/>
          <w:i w:val="0"/>
          <w:sz w:val="24"/>
        </w:rPr>
        <w:t>The present study employs a cross-sectional content analysis design, which enables the systematic examination and comparison of physical activity information quality across four digital platforms at a single point in time. Content analysis is a well-established research method in health communication that facilitates the objective, systematic, and quantitative description of manifest content (Krippendorff, 2018). The cross-sectional approach was selected for its capacity to capture a snapshot of the current information landscape, allowing for direct comparisons across platforms under identical assessment conditions.</w:t>
      </w:r>
    </w:p>
    <w:p>
      <w:pPr>
        <w:spacing w:before="0" w:after="120" w:line="360" w:lineRule="auto"/>
        <w:ind w:firstLine="720"/>
        <w:jc w:val="both"/>
      </w:pPr>
      <w:r>
        <w:rPr>
          <w:rFonts w:ascii="Times New Roman" w:hAnsi="Times New Roman" w:cs="Times New Roman"/>
          <w:rFonts w:ascii="Times New Roman" w:hAnsi="Times New Roman"/>
          <w:b w:val="0"/>
          <w:i w:val="0"/>
          <w:sz w:val="24"/>
        </w:rPr>
        <w:t>The research follows a deductive approach, applying established quality assessment frameworks—the DISCERN instrument and JAMA benchmarks—to evaluate content across a novel four-platform comparison. While these instruments were originally developed for traditional health information materials, their application to social media content represents a theoretically grounded extension that has been validated in prior research examining YouTube (Azer, 2020), TikTok (Kong et al., 2024), and Instagram health content (Chea &amp; Lim, 2023).</w:t>
      </w:r>
    </w:p>
    <w:p>
      <w:pPr>
        <w:spacing w:before="0" w:after="120" w:line="360" w:lineRule="auto"/>
        <w:ind w:firstLine="720"/>
        <w:jc w:val="both"/>
      </w:pPr>
      <w:r>
        <w:rPr>
          <w:rFonts w:ascii="Times New Roman" w:hAnsi="Times New Roman" w:cs="Times New Roman"/>
          <w:rFonts w:ascii="Times New Roman" w:hAnsi="Times New Roman"/>
          <w:b w:val="0"/>
          <w:i w:val="0"/>
          <w:sz w:val="24"/>
        </w:rPr>
        <w:t>The study design was structured using the SPIDER framework (Cooke et al., 2012), adapted for content analysis as follows:</w:t>
      </w:r>
    </w:p>
    <w:p>
      <w:pPr>
        <w:spacing w:before="0" w:after="40" w:line="360" w:lineRule="auto"/>
        <w:ind w:left="720"/>
        <w:jc w:val="both"/>
      </w:pPr>
      <w:r>
        <w:rPr>
          <w:rFonts w:ascii="Times New Roman" w:hAnsi="Times New Roman" w:cs="Times New Roman"/>
          <w:rFonts w:ascii="Times New Roman" w:hAnsi="Times New Roman"/>
          <w:b/>
          <w:i w:val="0"/>
          <w:sz w:val="24"/>
        </w:rPr>
        <w:t xml:space="preserve">• Sample: </w:t>
      </w:r>
      <w:r>
        <w:rPr>
          <w:rFonts w:ascii="Times New Roman" w:hAnsi="Times New Roman" w:cs="Times New Roman"/>
          <w:rFonts w:ascii="Times New Roman" w:hAnsi="Times New Roman"/>
          <w:b w:val="0"/>
          <w:i w:val="0"/>
          <w:sz w:val="24"/>
        </w:rPr>
        <w:t>200 content items across four platforms (50 per platform).</w:t>
      </w:r>
    </w:p>
    <w:p>
      <w:pPr>
        <w:spacing w:before="0" w:after="40" w:line="360" w:lineRule="auto"/>
        <w:ind w:left="720"/>
        <w:jc w:val="both"/>
      </w:pPr>
      <w:r>
        <w:rPr>
          <w:rFonts w:ascii="Times New Roman" w:hAnsi="Times New Roman" w:cs="Times New Roman"/>
          <w:rFonts w:ascii="Times New Roman" w:hAnsi="Times New Roman"/>
          <w:b/>
          <w:i w:val="0"/>
          <w:sz w:val="24"/>
        </w:rPr>
        <w:t xml:space="preserve">• Phenomenon of Interest: </w:t>
      </w:r>
      <w:r>
        <w:rPr>
          <w:rFonts w:ascii="Times New Roman" w:hAnsi="Times New Roman" w:cs="Times New Roman"/>
          <w:rFonts w:ascii="Times New Roman" w:hAnsi="Times New Roman"/>
          <w:b w:val="0"/>
          <w:i w:val="0"/>
          <w:sz w:val="24"/>
        </w:rPr>
        <w:t>Quality of physical activity information.</w:t>
      </w:r>
    </w:p>
    <w:p>
      <w:pPr>
        <w:spacing w:before="0" w:after="40" w:line="360" w:lineRule="auto"/>
        <w:ind w:left="720"/>
        <w:jc w:val="both"/>
      </w:pPr>
      <w:r>
        <w:rPr>
          <w:rFonts w:ascii="Times New Roman" w:hAnsi="Times New Roman" w:cs="Times New Roman"/>
          <w:rFonts w:ascii="Times New Roman" w:hAnsi="Times New Roman"/>
          <w:b/>
          <w:i w:val="0"/>
          <w:sz w:val="24"/>
        </w:rPr>
        <w:t xml:space="preserve">• Design: </w:t>
      </w:r>
      <w:r>
        <w:rPr>
          <w:rFonts w:ascii="Times New Roman" w:hAnsi="Times New Roman" w:cs="Times New Roman"/>
          <w:rFonts w:ascii="Times New Roman" w:hAnsi="Times New Roman"/>
          <w:b w:val="0"/>
          <w:i w:val="0"/>
          <w:sz w:val="24"/>
        </w:rPr>
        <w:t>Cross-sectional content analysis.</w:t>
      </w:r>
    </w:p>
    <w:p>
      <w:pPr>
        <w:spacing w:before="0" w:after="40" w:line="360" w:lineRule="auto"/>
        <w:ind w:left="720"/>
        <w:jc w:val="both"/>
      </w:pPr>
      <w:r>
        <w:rPr>
          <w:rFonts w:ascii="Times New Roman" w:hAnsi="Times New Roman" w:cs="Times New Roman"/>
          <w:rFonts w:ascii="Times New Roman" w:hAnsi="Times New Roman"/>
          <w:b/>
          <w:i w:val="0"/>
          <w:sz w:val="24"/>
        </w:rPr>
        <w:t xml:space="preserve">• Evaluation: </w:t>
      </w:r>
      <w:r>
        <w:rPr>
          <w:rFonts w:ascii="Times New Roman" w:hAnsi="Times New Roman" w:cs="Times New Roman"/>
          <w:rFonts w:ascii="Times New Roman" w:hAnsi="Times New Roman"/>
          <w:b w:val="0"/>
          <w:i w:val="0"/>
          <w:sz w:val="24"/>
        </w:rPr>
        <w:t>DISCERN instrument and JAMA benchmarks.</w:t>
      </w:r>
    </w:p>
    <w:p>
      <w:pPr>
        <w:spacing w:before="0" w:after="40" w:line="360" w:lineRule="auto"/>
        <w:ind w:left="720"/>
        <w:jc w:val="both"/>
      </w:pPr>
      <w:r>
        <w:rPr>
          <w:rFonts w:ascii="Times New Roman" w:hAnsi="Times New Roman" w:cs="Times New Roman"/>
          <w:rFonts w:ascii="Times New Roman" w:hAnsi="Times New Roman"/>
          <w:b/>
          <w:i w:val="0"/>
          <w:sz w:val="24"/>
        </w:rPr>
        <w:t xml:space="preserve">• Research type: </w:t>
      </w:r>
      <w:r>
        <w:rPr>
          <w:rFonts w:ascii="Times New Roman" w:hAnsi="Times New Roman" w:cs="Times New Roman"/>
          <w:rFonts w:ascii="Times New Roman" w:hAnsi="Times New Roman"/>
          <w:b w:val="0"/>
          <w:i w:val="0"/>
          <w:sz w:val="24"/>
        </w:rPr>
        <w:t>Quantitative.</w:t>
      </w:r>
    </w:p>
    <w:p>
      <w:pPr>
        <w:spacing w:before="0" w:after="120" w:line="360" w:lineRule="auto"/>
        <w:ind w:firstLine="720"/>
        <w:jc w:val="both"/>
      </w:pPr>
      <w:r>
        <w:rPr>
          <w:rFonts w:ascii="Times New Roman" w:hAnsi="Times New Roman" w:cs="Times New Roman"/>
          <w:rFonts w:ascii="Times New Roman" w:hAnsi="Times New Roman"/>
          <w:b w:val="0"/>
          <w:i w:val="0"/>
          <w:sz w:val="24"/>
        </w:rPr>
        <w:t>The rationale for employing a cross-sectional content analysis rather than a systematic review lies in the current state of the literature. Recent meta-analyses have already synthesised the existing body of evidence on health information quality across individual platforms (Ayyash et al., 2025; Ayyash, Musaad, et al., 2025). However, no study to date has conducted a direct, head-to-head comparison of physical activity information quality across traditional websites, YouTube, TikTok, and Instagram using both the DISCERN and JAMA instruments simultaneously. The present study addresses this gap by providing the first four-platform comparative analysis using dual quality assessment frameworks applied specifically to physical activity content.</w:t>
      </w:r>
    </w:p>
    <w:p>
      <w:pPr>
        <w:spacing w:before="240" w:after="120" w:line="360" w:lineRule="auto"/>
        <w:jc w:val="left"/>
      </w:pPr>
      <w:r>
        <w:rPr>
          <w:rFonts w:ascii="Times New Roman" w:hAnsi="Times New Roman" w:cs="Times New Roman"/>
          <w:rFonts w:ascii="Times New Roman" w:hAnsi="Times New Roman"/>
          <w:b/>
          <w:i w:val="0"/>
          <w:sz w:val="24"/>
        </w:rPr>
        <w:t>2.3 Nature of Research</w:t>
      </w:r>
    </w:p>
    <w:p>
      <w:pPr>
        <w:spacing w:before="0" w:after="120" w:line="360" w:lineRule="auto"/>
        <w:ind w:firstLine="720"/>
        <w:jc w:val="both"/>
      </w:pPr>
      <w:r>
        <w:rPr>
          <w:rFonts w:ascii="Times New Roman" w:hAnsi="Times New Roman" w:cs="Times New Roman"/>
          <w:rFonts w:ascii="Times New Roman" w:hAnsi="Times New Roman"/>
          <w:b w:val="0"/>
          <w:i w:val="0"/>
          <w:sz w:val="24"/>
        </w:rPr>
        <w:t>The present study is quantitative in nature, employing numerical scoring instruments to assess information quality and statistical methods to analyse the resulting data. The research is both descriptive and comparative: descriptive in that it characterises the quality of physical activity information across platforms using standardised metrics, and comparative in that it systematically examines differences in quality scores between platform types, creator categories, and content formats.</w:t>
      </w:r>
    </w:p>
    <w:p>
      <w:pPr>
        <w:spacing w:before="0" w:after="120" w:line="360" w:lineRule="auto"/>
        <w:ind w:firstLine="720"/>
        <w:jc w:val="both"/>
      </w:pPr>
      <w:r>
        <w:rPr>
          <w:rFonts w:ascii="Times New Roman" w:hAnsi="Times New Roman" w:cs="Times New Roman"/>
          <w:rFonts w:ascii="Times New Roman" w:hAnsi="Times New Roman"/>
          <w:b w:val="0"/>
          <w:i w:val="0"/>
          <w:sz w:val="24"/>
        </w:rPr>
        <w:t>Furthermore, this study represents applied research with practical implications for multiple stakeholders. The findings are intended to inform health literacy initiatives, guide content regulation policies on social media platforms, assist healthcare professionals in directing patients toward reliable information sources, and contribute to the broader understanding of digital health information ecosystems. The applied orientation aligns with the growing recognition that the quality of online health information has direct consequences for public health behaviours and outcomes (Swire-Thompson &amp; Lazer, 2020).</w:t>
      </w:r>
    </w:p>
    <w:p>
      <w:pPr>
        <w:spacing w:before="240" w:after="120" w:line="360" w:lineRule="auto"/>
        <w:jc w:val="left"/>
      </w:pPr>
      <w:r>
        <w:rPr>
          <w:rFonts w:ascii="Times New Roman" w:hAnsi="Times New Roman" w:cs="Times New Roman"/>
          <w:rFonts w:ascii="Times New Roman" w:hAnsi="Times New Roman"/>
          <w:b/>
          <w:i w:val="0"/>
          <w:sz w:val="24"/>
        </w:rPr>
        <w:t>2.4 Contingent of Research Subjects</w:t>
      </w:r>
    </w:p>
    <w:p>
      <w:pPr>
        <w:spacing w:before="0" w:after="120" w:line="360" w:lineRule="auto"/>
        <w:ind w:firstLine="720"/>
        <w:jc w:val="both"/>
      </w:pPr>
      <w:r>
        <w:rPr>
          <w:rFonts w:ascii="Times New Roman" w:hAnsi="Times New Roman" w:cs="Times New Roman"/>
          <w:rFonts w:ascii="Times New Roman" w:hAnsi="Times New Roman"/>
          <w:b w:val="0"/>
          <w:i w:val="0"/>
          <w:sz w:val="24"/>
        </w:rPr>
        <w:t>The study sample comprises a total of N = 200 content items collected from four digital platforms: traditional websites accessed through Google search (n = 50), YouTube (n = 50), TikTok (n = 50), and Instagram (n = 50). This sample size was determined based on precedent in health information quality research, where samples of 40–60 items per platform have been established as sufficient for detecting meaningful quality differences (Leong et al., 2021; Drozd et al., 2018).</w:t>
      </w:r>
    </w:p>
    <w:p>
      <w:pPr>
        <w:spacing w:before="0" w:after="120" w:line="360" w:lineRule="auto"/>
        <w:ind w:firstLine="720"/>
        <w:jc w:val="both"/>
      </w:pPr>
      <w:r>
        <w:rPr>
          <w:rFonts w:ascii="Times New Roman" w:hAnsi="Times New Roman" w:cs="Times New Roman"/>
          <w:rFonts w:ascii="Times New Roman" w:hAnsi="Times New Roman"/>
          <w:b w:val="0"/>
          <w:i w:val="0"/>
          <w:sz w:val="24"/>
        </w:rPr>
        <w:t>Content was retrieved using five standardised search terms designed to simulate typical user queries related to physical activity:</w:t>
      </w:r>
    </w:p>
    <w:p>
      <w:pPr>
        <w:spacing w:before="0" w:after="40" w:line="360" w:lineRule="auto"/>
        <w:ind w:left="720"/>
        <w:jc w:val="left"/>
      </w:pPr>
      <w:r>
        <w:rPr>
          <w:rFonts w:ascii="Times New Roman" w:hAnsi="Times New Roman" w:cs="Times New Roman"/>
          <w:rFonts w:ascii="Times New Roman" w:hAnsi="Times New Roman"/>
          <w:b w:val="0"/>
          <w:i w:val="0"/>
          <w:sz w:val="24"/>
        </w:rPr>
        <w:t>• “How to start exercising”</w:t>
      </w:r>
    </w:p>
    <w:p>
      <w:pPr>
        <w:spacing w:before="0" w:after="40" w:line="360" w:lineRule="auto"/>
        <w:ind w:left="720"/>
        <w:jc w:val="left"/>
      </w:pPr>
      <w:r>
        <w:rPr>
          <w:rFonts w:ascii="Times New Roman" w:hAnsi="Times New Roman" w:cs="Times New Roman"/>
          <w:rFonts w:ascii="Times New Roman" w:hAnsi="Times New Roman"/>
          <w:b w:val="0"/>
          <w:i w:val="0"/>
          <w:sz w:val="24"/>
        </w:rPr>
        <w:t>• “Best exercises to lose weight”</w:t>
      </w:r>
    </w:p>
    <w:p>
      <w:pPr>
        <w:spacing w:before="0" w:after="40" w:line="360" w:lineRule="auto"/>
        <w:ind w:left="720"/>
        <w:jc w:val="left"/>
      </w:pPr>
      <w:r>
        <w:rPr>
          <w:rFonts w:ascii="Times New Roman" w:hAnsi="Times New Roman" w:cs="Times New Roman"/>
          <w:rFonts w:ascii="Times New Roman" w:hAnsi="Times New Roman"/>
          <w:b w:val="0"/>
          <w:i w:val="0"/>
          <w:sz w:val="24"/>
        </w:rPr>
        <w:t>• “Strength training for beginners”</w:t>
      </w:r>
    </w:p>
    <w:p>
      <w:pPr>
        <w:spacing w:before="0" w:after="40" w:line="360" w:lineRule="auto"/>
        <w:ind w:left="720"/>
        <w:jc w:val="left"/>
      </w:pPr>
      <w:r>
        <w:rPr>
          <w:rFonts w:ascii="Times New Roman" w:hAnsi="Times New Roman" w:cs="Times New Roman"/>
          <w:rFonts w:ascii="Times New Roman" w:hAnsi="Times New Roman"/>
          <w:b w:val="0"/>
          <w:i w:val="0"/>
          <w:sz w:val="24"/>
        </w:rPr>
        <w:t>• “Physical activity guidelines”</w:t>
      </w:r>
    </w:p>
    <w:p>
      <w:pPr>
        <w:spacing w:before="0" w:after="40" w:line="360" w:lineRule="auto"/>
        <w:ind w:left="720"/>
        <w:jc w:val="left"/>
      </w:pPr>
      <w:r>
        <w:rPr>
          <w:rFonts w:ascii="Times New Roman" w:hAnsi="Times New Roman" w:cs="Times New Roman"/>
          <w:rFonts w:ascii="Times New Roman" w:hAnsi="Times New Roman"/>
          <w:b w:val="0"/>
          <w:i w:val="0"/>
          <w:sz w:val="24"/>
        </w:rPr>
        <w:t>• “Home workout routine”</w:t>
      </w:r>
    </w:p>
    <w:p>
      <w:pPr>
        <w:spacing w:before="0" w:after="120" w:line="360" w:lineRule="auto"/>
        <w:ind w:firstLine="720"/>
        <w:jc w:val="both"/>
      </w:pPr>
      <w:r>
        <w:rPr>
          <w:rFonts w:ascii="Times New Roman" w:hAnsi="Times New Roman" w:cs="Times New Roman"/>
          <w:rFonts w:ascii="Times New Roman" w:hAnsi="Times New Roman"/>
          <w:b w:val="0"/>
          <w:i w:val="0"/>
          <w:sz w:val="24"/>
        </w:rPr>
        <w:t>These search terms were selected to represent a range of common physical activity information-seeking behaviours, from general exercise initiation to specific activity modalities. For each search term, the first 10 results were collected from each platform, yielding 10 results × 5 search terms × 4 platforms = 200 content items. The sampling strategy employed convenience sampling of top-ranked search results, which simulates the actual information-seeking behaviour of typical users who predominantly access the first page of search results (Pan et al., 2007).</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Inclusion criteria. </w:t>
      </w:r>
      <w:r>
        <w:rPr>
          <w:rFonts w:ascii="Times New Roman" w:hAnsi="Times New Roman" w:cs="Times New Roman"/>
          <w:rFonts w:ascii="Times New Roman" w:hAnsi="Times New Roman"/>
          <w:b w:val="0"/>
          <w:i w:val="0"/>
          <w:sz w:val="24"/>
        </w:rPr>
        <w:t>Content items were included if they met all of the following criteria: (a) written or presented in English, (b) publicly accessible without account registration or payment, (c) containing substantive physical activity information (i.e., providing guidance, instructions, or educational content about exercise or physical activity), and (d) posted or last updated within the three years preceding data collection (i.e., from February 2023 onward).</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Exclusion criteria. </w:t>
      </w:r>
      <w:r>
        <w:rPr>
          <w:rFonts w:ascii="Times New Roman" w:hAnsi="Times New Roman" w:cs="Times New Roman"/>
          <w:rFonts w:ascii="Times New Roman" w:hAnsi="Times New Roman"/>
          <w:b w:val="0"/>
          <w:i w:val="0"/>
          <w:sz w:val="24"/>
        </w:rPr>
        <w:t>Content items were excluded if they met any of the following criteria: (a) duplicate content appearing across multiple platforms, (b) content behind a paywall or requiring subscription access, (c) content not primarily focused on physical activity (e.g., product-only advertisements, unrelated entertainment), or (d) content in languages other than English. When a result was excluded, the next sequential result from the same search was included as a replacement to maintain the target sample size.</w:t>
      </w:r>
    </w:p>
    <w:p>
      <w:pPr>
        <w:spacing w:before="0" w:after="120" w:line="360" w:lineRule="auto"/>
        <w:ind w:firstLine="720"/>
        <w:jc w:val="both"/>
      </w:pPr>
      <w:r>
        <w:rPr>
          <w:rFonts w:ascii="Times New Roman" w:hAnsi="Times New Roman" w:cs="Times New Roman"/>
          <w:rFonts w:ascii="Times New Roman" w:hAnsi="Times New Roman"/>
          <w:b w:val="0"/>
          <w:i w:val="0"/>
          <w:sz w:val="24"/>
        </w:rPr>
        <w:t>Table 2.1 presents the sampling matrix illustrating the distribution of content items across search terms and platforms.</w:t>
      </w:r>
    </w:p>
    <w:p>
      <w:pPr>
        <w:spacing w:before="240" w:after="0" w:line="360" w:lineRule="auto"/>
        <w:jc w:val="left"/>
      </w:pPr>
      <w:r>
        <w:rPr>
          <w:rFonts w:ascii="Times New Roman" w:hAnsi="Times New Roman" w:cs="Times New Roman"/>
          <w:rFonts w:ascii="Times New Roman" w:hAnsi="Times New Roman"/>
          <w:b/>
          <w:i w:val="0"/>
          <w:sz w:val="24"/>
        </w:rPr>
        <w:t>Table 2.1</w:t>
      </w:r>
    </w:p>
    <w:p>
      <w:pPr>
        <w:spacing w:before="0" w:after="120" w:line="360" w:lineRule="auto"/>
        <w:jc w:val="left"/>
      </w:pPr>
      <w:r>
        <w:rPr>
          <w:rFonts w:ascii="Times New Roman" w:hAnsi="Times New Roman" w:cs="Times New Roman"/>
          <w:rFonts w:ascii="Times New Roman" w:hAnsi="Times New Roman"/>
          <w:b w:val="0"/>
          <w:i/>
          <w:sz w:val="24"/>
        </w:rPr>
        <w:t>Sampling Matrix: Distribution of Content Items by Search Term and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c>
          <w:tcPr>
            <w:tcW w:type="dxa" w:w="3118"/>
            <w:shd w:fill="D9E2F3"/>
          </w:tcPr>
          <w:p>
            <w:pPr>
              <w:spacing w:before="20" w:after="20" w:line="276" w:lineRule="auto"/>
              <w:jc w:val="center"/>
            </w:pPr>
            <w:r/>
            <w:r>
              <w:rPr>
                <w:rFonts w:ascii="Times New Roman" w:hAnsi="Times New Roman" w:cs="Times New Roman"/>
                <w:rFonts w:ascii="Times New Roman" w:hAnsi="Times New Roman"/>
                <w:b/>
                <w:i w:val="0"/>
                <w:sz w:val="20"/>
              </w:rPr>
              <w:t>Search Term</w:t>
            </w:r>
          </w:p>
        </w:tc>
        <w:tc>
          <w:tcPr>
            <w:tcW w:type="dxa" w:w="1247"/>
            <w:shd w:fill="D9E2F3"/>
          </w:tcPr>
          <w:p>
            <w:pPr>
              <w:spacing w:before="20" w:after="20" w:line="276" w:lineRule="auto"/>
              <w:jc w:val="center"/>
            </w:pPr>
            <w:r/>
            <w:r>
              <w:rPr>
                <w:rFonts w:ascii="Times New Roman" w:hAnsi="Times New Roman" w:cs="Times New Roman"/>
                <w:rFonts w:ascii="Times New Roman" w:hAnsi="Times New Roman"/>
                <w:b/>
                <w:i w:val="0"/>
                <w:sz w:val="20"/>
              </w:rPr>
              <w:t>Google</w:t>
              <w:br/>
              <w:t>(n)</w:t>
            </w:r>
          </w:p>
        </w:tc>
        <w:tc>
          <w:tcPr>
            <w:tcW w:type="dxa" w:w="1247"/>
            <w:shd w:fill="D9E2F3"/>
          </w:tcPr>
          <w:p>
            <w:pPr>
              <w:spacing w:before="20" w:after="20" w:line="276" w:lineRule="auto"/>
              <w:jc w:val="center"/>
            </w:pPr>
            <w:r/>
            <w:r>
              <w:rPr>
                <w:rFonts w:ascii="Times New Roman" w:hAnsi="Times New Roman" w:cs="Times New Roman"/>
                <w:rFonts w:ascii="Times New Roman" w:hAnsi="Times New Roman"/>
                <w:b/>
                <w:i w:val="0"/>
                <w:sz w:val="20"/>
              </w:rPr>
              <w:t>YouTube</w:t>
              <w:br/>
              <w:t>(n)</w:t>
            </w:r>
          </w:p>
        </w:tc>
        <w:tc>
          <w:tcPr>
            <w:tcW w:type="dxa" w:w="1247"/>
            <w:shd w:fill="D9E2F3"/>
          </w:tcPr>
          <w:p>
            <w:pPr>
              <w:spacing w:before="20" w:after="20" w:line="276" w:lineRule="auto"/>
              <w:jc w:val="center"/>
            </w:pPr>
            <w:r/>
            <w:r>
              <w:rPr>
                <w:rFonts w:ascii="Times New Roman" w:hAnsi="Times New Roman" w:cs="Times New Roman"/>
                <w:rFonts w:ascii="Times New Roman" w:hAnsi="Times New Roman"/>
                <w:b/>
                <w:i w:val="0"/>
                <w:sz w:val="20"/>
              </w:rPr>
              <w:t>TikTok</w:t>
              <w:br/>
              <w:t>(n)</w:t>
            </w:r>
          </w:p>
        </w:tc>
        <w:tc>
          <w:tcPr>
            <w:tcW w:type="dxa" w:w="1247"/>
            <w:shd w:fill="D9E2F3"/>
          </w:tcPr>
          <w:p>
            <w:pPr>
              <w:spacing w:before="20" w:after="20" w:line="276" w:lineRule="auto"/>
              <w:jc w:val="center"/>
            </w:pPr>
            <w:r/>
            <w:r>
              <w:rPr>
                <w:rFonts w:ascii="Times New Roman" w:hAnsi="Times New Roman" w:cs="Times New Roman"/>
                <w:rFonts w:ascii="Times New Roman" w:hAnsi="Times New Roman"/>
                <w:b/>
                <w:i w:val="0"/>
                <w:sz w:val="20"/>
              </w:rPr>
              <w:t>Instagram</w:t>
              <w:br/>
              <w:t>(n)</w:t>
            </w:r>
          </w:p>
        </w:tc>
        <w:tc>
          <w:tcPr>
            <w:tcW w:type="dxa" w:w="1247"/>
            <w:shd w:fill="D9E2F3"/>
          </w:tcPr>
          <w:p>
            <w:pPr>
              <w:spacing w:before="20" w:after="20" w:line="276" w:lineRule="auto"/>
              <w:jc w:val="center"/>
            </w:pPr>
            <w:r/>
            <w:r>
              <w:rPr>
                <w:rFonts w:ascii="Times New Roman" w:hAnsi="Times New Roman" w:cs="Times New Roman"/>
                <w:rFonts w:ascii="Times New Roman" w:hAnsi="Times New Roman"/>
                <w:b/>
                <w:i w:val="0"/>
                <w:sz w:val="20"/>
              </w:rPr>
              <w:t>Total</w:t>
              <w:br/>
              <w:t>(N)</w:t>
            </w:r>
          </w:p>
        </w:tc>
      </w:tr>
      <w:tr>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How to start exercising</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40</w:t>
            </w:r>
          </w:p>
        </w:tc>
      </w:tr>
      <w:tr>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Best exercises to lose weight</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40</w:t>
            </w:r>
          </w:p>
        </w:tc>
      </w:tr>
      <w:tr>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Strength training for beginners</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40</w:t>
            </w:r>
          </w:p>
        </w:tc>
      </w:tr>
      <w:tr>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Physical activity guidelines</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40</w:t>
            </w:r>
          </w:p>
        </w:tc>
      </w:tr>
      <w:tr>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Home workout routine</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40</w:t>
            </w:r>
          </w:p>
        </w:tc>
      </w:tr>
      <w:tr>
        <w:tc>
          <w:tcPr>
            <w:tcW w:type="dxa" w:w="3118"/>
            <w:shd w:fill="E2EFDA"/>
          </w:tcPr>
          <w:p>
            <w:pPr>
              <w:spacing w:before="20" w:after="20" w:line="276" w:lineRule="auto"/>
              <w:jc w:val="left"/>
            </w:pPr>
            <w:r/>
            <w:r>
              <w:rPr>
                <w:rFonts w:ascii="Times New Roman" w:hAnsi="Times New Roman" w:cs="Times New Roman"/>
                <w:rFonts w:ascii="Times New Roman" w:hAnsi="Times New Roman"/>
                <w:b/>
                <w:i w:val="0"/>
                <w:sz w:val="20"/>
              </w:rPr>
              <w:t>Total</w:t>
            </w:r>
          </w:p>
        </w:tc>
        <w:tc>
          <w:tcPr>
            <w:tcW w:type="dxa" w:w="1247"/>
            <w:shd w:fill="E2EFDA"/>
          </w:tcPr>
          <w:p>
            <w:pPr>
              <w:spacing w:before="20" w:after="20" w:line="276" w:lineRule="auto"/>
              <w:jc w:val="center"/>
            </w:pPr>
            <w:r/>
            <w:r>
              <w:rPr>
                <w:rFonts w:ascii="Times New Roman" w:hAnsi="Times New Roman" w:cs="Times New Roman"/>
                <w:rFonts w:ascii="Times New Roman" w:hAnsi="Times New Roman"/>
                <w:b/>
                <w:i w:val="0"/>
                <w:sz w:val="20"/>
              </w:rPr>
              <w:t>50</w:t>
            </w:r>
          </w:p>
        </w:tc>
        <w:tc>
          <w:tcPr>
            <w:tcW w:type="dxa" w:w="1247"/>
            <w:shd w:fill="E2EFDA"/>
          </w:tcPr>
          <w:p>
            <w:pPr>
              <w:spacing w:before="20" w:after="20" w:line="276" w:lineRule="auto"/>
              <w:jc w:val="center"/>
            </w:pPr>
            <w:r/>
            <w:r>
              <w:rPr>
                <w:rFonts w:ascii="Times New Roman" w:hAnsi="Times New Roman" w:cs="Times New Roman"/>
                <w:rFonts w:ascii="Times New Roman" w:hAnsi="Times New Roman"/>
                <w:b/>
                <w:i w:val="0"/>
                <w:sz w:val="20"/>
              </w:rPr>
              <w:t>50</w:t>
            </w:r>
          </w:p>
        </w:tc>
        <w:tc>
          <w:tcPr>
            <w:tcW w:type="dxa" w:w="1247"/>
            <w:shd w:fill="E2EFDA"/>
          </w:tcPr>
          <w:p>
            <w:pPr>
              <w:spacing w:before="20" w:after="20" w:line="276" w:lineRule="auto"/>
              <w:jc w:val="center"/>
            </w:pPr>
            <w:r/>
            <w:r>
              <w:rPr>
                <w:rFonts w:ascii="Times New Roman" w:hAnsi="Times New Roman" w:cs="Times New Roman"/>
                <w:rFonts w:ascii="Times New Roman" w:hAnsi="Times New Roman"/>
                <w:b/>
                <w:i w:val="0"/>
                <w:sz w:val="20"/>
              </w:rPr>
              <w:t>50</w:t>
            </w:r>
          </w:p>
        </w:tc>
        <w:tc>
          <w:tcPr>
            <w:tcW w:type="dxa" w:w="1247"/>
            <w:shd w:fill="E2EFDA"/>
          </w:tcPr>
          <w:p>
            <w:pPr>
              <w:spacing w:before="20" w:after="20" w:line="276" w:lineRule="auto"/>
              <w:jc w:val="center"/>
            </w:pPr>
            <w:r/>
            <w:r>
              <w:rPr>
                <w:rFonts w:ascii="Times New Roman" w:hAnsi="Times New Roman" w:cs="Times New Roman"/>
                <w:rFonts w:ascii="Times New Roman" w:hAnsi="Times New Roman"/>
                <w:b/>
                <w:i w:val="0"/>
                <w:sz w:val="20"/>
              </w:rPr>
              <w:t>50</w:t>
            </w:r>
          </w:p>
        </w:tc>
        <w:tc>
          <w:tcPr>
            <w:tcW w:type="dxa" w:w="1247"/>
            <w:shd w:fill="E2EFDA"/>
          </w:tcPr>
          <w:p>
            <w:pPr>
              <w:spacing w:before="20" w:after="20" w:line="276" w:lineRule="auto"/>
              <w:jc w:val="center"/>
            </w:pPr>
            <w:r/>
            <w:r>
              <w:rPr>
                <w:rFonts w:ascii="Times New Roman" w:hAnsi="Times New Roman" w:cs="Times New Roman"/>
                <w:rFonts w:ascii="Times New Roman" w:hAnsi="Times New Roman"/>
                <w:b/>
                <w:i w:val="0"/>
                <w:sz w:val="20"/>
              </w:rPr>
              <w:t>200</w:t>
            </w:r>
          </w:p>
        </w:tc>
      </w:tr>
    </w:tbl>
    <w:p>
      <w:pPr>
        <w:spacing w:before="60" w:after="240" w:line="240" w:lineRule="auto"/>
      </w:pPr>
      <w:r>
        <w:rPr>
          <w:rFonts w:ascii="Times New Roman" w:hAnsi="Times New Roman" w:cs="Times New Roman"/>
          <w:rFonts w:ascii="Times New Roman" w:hAnsi="Times New Roman"/>
          <w:b w:val="0"/>
          <w:i/>
          <w:sz w:val="20"/>
        </w:rPr>
        <w:t xml:space="preserve">Note. </w:t>
      </w:r>
      <w:r>
        <w:rPr>
          <w:rFonts w:ascii="Times New Roman" w:hAnsi="Times New Roman" w:cs="Times New Roman"/>
          <w:rFonts w:ascii="Times New Roman" w:hAnsi="Times New Roman"/>
          <w:b w:val="0"/>
          <w:i w:val="0"/>
          <w:sz w:val="20"/>
        </w:rPr>
        <w:t>Each cell represents the number of content items collected per search term per platform. Total sample N = 200.</w:t>
      </w:r>
    </w:p>
    <w:p>
      <w:pPr>
        <w:spacing w:before="240" w:after="120" w:line="360" w:lineRule="auto"/>
        <w:jc w:val="left"/>
      </w:pPr>
      <w:r>
        <w:rPr>
          <w:rFonts w:ascii="Times New Roman" w:hAnsi="Times New Roman" w:cs="Times New Roman"/>
          <w:rFonts w:ascii="Times New Roman" w:hAnsi="Times New Roman"/>
          <w:b/>
          <w:i w:val="0"/>
          <w:sz w:val="24"/>
        </w:rPr>
        <w:t>2.5 Research Methods</w:t>
      </w:r>
    </w:p>
    <w:p>
      <w:pPr>
        <w:spacing w:before="160" w:after="120" w:line="360" w:lineRule="auto"/>
        <w:jc w:val="left"/>
      </w:pPr>
      <w:r>
        <w:rPr>
          <w:rFonts w:ascii="Times New Roman" w:hAnsi="Times New Roman" w:cs="Times New Roman"/>
          <w:rFonts w:ascii="Times New Roman" w:hAnsi="Times New Roman"/>
          <w:b/>
          <w:i w:val="0"/>
          <w:sz w:val="24"/>
        </w:rPr>
        <w:t>2.5.1 Data Collection Procedures</w:t>
      </w:r>
    </w:p>
    <w:p>
      <w:pPr>
        <w:spacing w:before="0" w:after="120" w:line="360" w:lineRule="auto"/>
        <w:ind w:firstLine="720"/>
        <w:jc w:val="both"/>
      </w:pPr>
      <w:r>
        <w:rPr>
          <w:rFonts w:ascii="Times New Roman" w:hAnsi="Times New Roman" w:cs="Times New Roman"/>
          <w:rFonts w:ascii="Times New Roman" w:hAnsi="Times New Roman"/>
          <w:b w:val="0"/>
          <w:i w:val="0"/>
          <w:sz w:val="24"/>
        </w:rPr>
        <w:t>Data collection was conducted using a systematic protocol designed to minimise algorithmic bias and ensure reproducibility. All searches were performed using incognito or private browsing mode to reduce the influence of personalised search algorithms and browsing history on result rankings (Tripodi, 2018). The browser geolocation was configured to a neutral English-speaking region to standardise the search environment across all platforms.</w:t>
      </w:r>
    </w:p>
    <w:p>
      <w:pPr>
        <w:spacing w:before="0" w:after="120" w:line="360" w:lineRule="auto"/>
        <w:ind w:firstLine="720"/>
        <w:jc w:val="both"/>
      </w:pPr>
      <w:r>
        <w:rPr>
          <w:rFonts w:ascii="Times New Roman" w:hAnsi="Times New Roman" w:cs="Times New Roman"/>
          <w:rFonts w:ascii="Times New Roman" w:hAnsi="Times New Roman"/>
          <w:b w:val="0"/>
          <w:i w:val="0"/>
          <w:sz w:val="24"/>
        </w:rPr>
        <w:t>For traditional websites (Google) and YouTube, an automated data collection approach was employed using Playwright, an open-source browser automation framework. The automated scripts navigated to each platform, entered the standardised search terms, and systematically recorded the top 10 results for each query. This approach ensured consistency in result capture and eliminated human error in the recording of search rankings, URLs, and metadata. For TikTok and Instagram, manual data collection was conducted due to these platforms’ implementation of anti-bot measures that prevent reliable browser automation. The primary researcher manually searched each term within the platform’s native search function, recording the first 10 relevant results in order of appearance.</w:t>
      </w:r>
    </w:p>
    <w:p>
      <w:pPr>
        <w:spacing w:before="0" w:after="120" w:line="360" w:lineRule="auto"/>
        <w:ind w:firstLine="720"/>
        <w:jc w:val="both"/>
      </w:pPr>
      <w:r>
        <w:rPr>
          <w:rFonts w:ascii="Times New Roman" w:hAnsi="Times New Roman" w:cs="Times New Roman"/>
          <w:rFonts w:ascii="Times New Roman" w:hAnsi="Times New Roman"/>
          <w:b w:val="0"/>
          <w:i w:val="0"/>
          <w:sz w:val="24"/>
        </w:rPr>
        <w:t>All search results were recorded in their order of appearance within the search ranking. For each content item, the following information was documented: platform, search term used, ranking position, URL or content identifier, creator name, creator type classification, content format, date of publication or last update, and engagement metrics (views, likes, shares, and comments where available). Screenshots were captured for each content item to establish an audit trail, supporting the verification and reliability of the assessment process.</w:t>
      </w:r>
    </w:p>
    <w:p>
      <w:pPr>
        <w:spacing w:before="160" w:after="120" w:line="360" w:lineRule="auto"/>
        <w:jc w:val="left"/>
      </w:pPr>
      <w:r>
        <w:rPr>
          <w:rFonts w:ascii="Times New Roman" w:hAnsi="Times New Roman" w:cs="Times New Roman"/>
          <w:rFonts w:ascii="Times New Roman" w:hAnsi="Times New Roman"/>
          <w:b/>
          <w:i w:val="0"/>
          <w:sz w:val="24"/>
        </w:rPr>
        <w:t>2.5.2 Quality Assessment Instruments</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DISCERN Instrument. </w:t>
      </w:r>
      <w:r>
        <w:rPr>
          <w:rFonts w:ascii="Times New Roman" w:hAnsi="Times New Roman" w:cs="Times New Roman"/>
          <w:rFonts w:ascii="Times New Roman" w:hAnsi="Times New Roman"/>
          <w:b w:val="0"/>
          <w:i w:val="0"/>
          <w:sz w:val="24"/>
        </w:rPr>
        <w:t>The DISCERN instrument (Charnock et al., 1999) is a validated and widely used tool for assessing the quality of written consumer health information. The instrument comprises 16 items, each scored on a Likert-type scale ranging from 1 (definite no) to 5 (definite yes). The instrument is divided into three sections: Section 1 (Questions 1–8) evaluates the reliability of the publication, addressing whether the content has clear aims, achieves those aims, is relevant, identifies its sources, is balanced, and provides sufficient detail for decision-making. Section 2 (Questions 9–15) assesses the quality of information about treatment choices, including descriptions of how treatments work, their benefits, risks, effects on quality of life, and what would happen without treatment. Section 3 comprises a single item (Question 16) providing an overall quality rating. Total scores range from 16 to 80.</w:t>
      </w:r>
    </w:p>
    <w:p>
      <w:pPr>
        <w:spacing w:before="0" w:after="120" w:line="360" w:lineRule="auto"/>
        <w:ind w:firstLine="720"/>
        <w:jc w:val="both"/>
      </w:pPr>
      <w:r>
        <w:rPr>
          <w:rFonts w:ascii="Times New Roman" w:hAnsi="Times New Roman" w:cs="Times New Roman"/>
          <w:rFonts w:ascii="Times New Roman" w:hAnsi="Times New Roman"/>
          <w:b w:val="0"/>
          <w:i w:val="0"/>
          <w:sz w:val="24"/>
        </w:rPr>
        <w:t>For the purposes of the present study, DISCERN quality scores were categorised using the following established thresholds: Very Poor (16–26), Poor (27–38), Fair (39–50), Good (51–62), and Excellent (63–80). These categories facilitate meaningful interpretation and cross-study comparison of quality ratings. In adapting the instrument for social media content, questions pertaining to treatment information were interpreted in the context of exercise and physical activity recommendations, consistent with the approach adopted in prior studies examining fitness-related content (Kocyigit et al., 2024; Kong et al., 2024).</w:t>
      </w:r>
    </w:p>
    <w:p>
      <w:pPr>
        <w:spacing w:before="0" w:after="120" w:line="360" w:lineRule="auto"/>
        <w:ind w:firstLine="720"/>
        <w:jc w:val="both"/>
      </w:pPr>
      <w:r>
        <w:rPr>
          <w:rFonts w:ascii="Times New Roman" w:hAnsi="Times New Roman" w:cs="Times New Roman"/>
          <w:rFonts w:ascii="Times New Roman" w:hAnsi="Times New Roman"/>
          <w:b w:val="0"/>
          <w:i w:val="0"/>
          <w:sz w:val="24"/>
        </w:rPr>
        <w:t>Table 2.2 presents the complete DISCERN instrument with all 16 assessment questions.</w:t>
      </w:r>
    </w:p>
    <w:p>
      <w:pPr>
        <w:spacing w:before="240" w:after="0" w:line="360" w:lineRule="auto"/>
        <w:jc w:val="left"/>
      </w:pPr>
      <w:r>
        <w:rPr>
          <w:rFonts w:ascii="Times New Roman" w:hAnsi="Times New Roman" w:cs="Times New Roman"/>
          <w:rFonts w:ascii="Times New Roman" w:hAnsi="Times New Roman"/>
          <w:b/>
          <w:i w:val="0"/>
          <w:sz w:val="24"/>
        </w:rPr>
        <w:t>Table 2.2</w:t>
      </w:r>
    </w:p>
    <w:p>
      <w:pPr>
        <w:spacing w:before="0" w:after="120" w:line="360" w:lineRule="auto"/>
        <w:jc w:val="left"/>
      </w:pPr>
      <w:r>
        <w:rPr>
          <w:rFonts w:ascii="Times New Roman" w:hAnsi="Times New Roman" w:cs="Times New Roman"/>
          <w:rFonts w:ascii="Times New Roman" w:hAnsi="Times New Roman"/>
          <w:b w:val="0"/>
          <w:i/>
          <w:sz w:val="24"/>
        </w:rPr>
        <w:t>DISCERN Instrument Assessment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850"/>
            <w:shd w:fill="D9E2F3"/>
          </w:tcPr>
          <w:p>
            <w:pPr>
              <w:spacing w:before="20" w:after="20" w:line="276" w:lineRule="auto"/>
              <w:jc w:val="center"/>
            </w:pPr>
            <w:r/>
            <w:r>
              <w:rPr>
                <w:rFonts w:ascii="Times New Roman" w:hAnsi="Times New Roman" w:cs="Times New Roman"/>
                <w:rFonts w:ascii="Times New Roman" w:hAnsi="Times New Roman"/>
                <w:b/>
                <w:i w:val="0"/>
                <w:sz w:val="20"/>
              </w:rPr>
              <w:t>Item</w:t>
            </w:r>
          </w:p>
        </w:tc>
        <w:tc>
          <w:tcPr>
            <w:tcW w:type="dxa" w:w="1984"/>
            <w:shd w:fill="D9E2F3"/>
          </w:tcPr>
          <w:p>
            <w:pPr>
              <w:spacing w:before="20" w:after="20" w:line="276" w:lineRule="auto"/>
              <w:jc w:val="center"/>
            </w:pPr>
            <w:r/>
            <w:r>
              <w:rPr>
                <w:rFonts w:ascii="Times New Roman" w:hAnsi="Times New Roman" w:cs="Times New Roman"/>
                <w:rFonts w:ascii="Times New Roman" w:hAnsi="Times New Roman"/>
                <w:b/>
                <w:i w:val="0"/>
                <w:sz w:val="20"/>
              </w:rPr>
              <w:t>Section</w:t>
            </w:r>
          </w:p>
        </w:tc>
        <w:tc>
          <w:tcPr>
            <w:tcW w:type="dxa" w:w="6236"/>
            <w:shd w:fill="D9E2F3"/>
          </w:tcPr>
          <w:p>
            <w:pPr>
              <w:spacing w:before="20" w:after="20" w:line="276" w:lineRule="auto"/>
              <w:jc w:val="center"/>
            </w:pPr>
            <w:r/>
            <w:r>
              <w:rPr>
                <w:rFonts w:ascii="Times New Roman" w:hAnsi="Times New Roman" w:cs="Times New Roman"/>
                <w:rFonts w:ascii="Times New Roman" w:hAnsi="Times New Roman"/>
                <w:b/>
                <w:i w:val="0"/>
                <w:sz w:val="20"/>
              </w:rPr>
              <w:t>Question</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Q1</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1: Reliability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Are the aims clear?</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Q2</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1: Reliability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achieve its aims?</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Q3</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1: Reliability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Is it relevant?</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Q4</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1: Reliability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Is it clear what sources of information were used to compile the publication?</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Q5</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1: Reliability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Is it clear when the information used or reported in the publication was produced?</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Q6</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1: Reliability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Is it balanced and unbiased?</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Q7</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1: Reliability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provide details of additional sources of support and information?</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Q8</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1: Reliability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refer to areas of uncertainty?</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Q9</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2: Treatment Quality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describe how each treatment works?</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Q10</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2: Treatment Quality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describe the benefits of each treatment?</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Q11</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2: Treatment Quality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describe the risks of each treatment?</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Q12</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2: Treatment Quality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describe what would happen if no treatment is used?</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Q13</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2: Treatment Quality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describe the effects of treatment choices on overall quality of life?</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Q14</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2: Treatment Quality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Is it clear that there may be more than one possible treatment choice?</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Q15</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2: Treatment Quality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provide support for shared decision-making?</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Q16</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3: Overall Rating</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Based on the answers to all of the above questions, rate the overall quality of the publication.</w:t>
            </w:r>
          </w:p>
        </w:tc>
      </w:tr>
      <w:tr>
        <w:tc>
          <w:tcPr>
            <w:tcW w:type="dxa" w:w="850"/>
          </w:tcPr>
          <w:p/>
        </w:tc>
        <w:tc>
          <w:tcPr>
            <w:tcW w:type="dxa" w:w="1984"/>
          </w:tcPr>
          <w:p/>
        </w:tc>
        <w:tc>
          <w:tcPr>
            <w:tcW w:type="dxa" w:w="6236"/>
          </w:tcPr>
          <w:p/>
        </w:tc>
      </w:tr>
    </w:tbl>
    <w:p>
      <w:pPr>
        <w:spacing w:before="60" w:after="240" w:line="240" w:lineRule="auto"/>
      </w:pPr>
      <w:r>
        <w:rPr>
          <w:rFonts w:ascii="Times New Roman" w:hAnsi="Times New Roman" w:cs="Times New Roman"/>
          <w:rFonts w:ascii="Times New Roman" w:hAnsi="Times New Roman"/>
          <w:b w:val="0"/>
          <w:i/>
          <w:sz w:val="20"/>
        </w:rPr>
        <w:t xml:space="preserve">Note. </w:t>
      </w:r>
      <w:r>
        <w:rPr>
          <w:rFonts w:ascii="Times New Roman" w:hAnsi="Times New Roman" w:cs="Times New Roman"/>
          <w:rFonts w:ascii="Times New Roman" w:hAnsi="Times New Roman"/>
          <w:b w:val="0"/>
          <w:i w:val="0"/>
          <w:sz w:val="20"/>
        </w:rPr>
        <w:t>Adapted from “DISCERN: An instrument for judging the quality of written consumer health information on treatment choices,” by D. Charnock, S. Shepperd, G. Needham, and R. Gann, 1999, Journal of Epidemiology &amp; Community Health, 53(2), 105–111. Each item is scored from 1 (definite no) to 5 (definite yes). For social media content, treatment-related questions (Q9–Q15) were interpreted as referring to exercise and physical activity recommendations.</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JAMA Benchmarks. </w:t>
      </w:r>
      <w:r>
        <w:rPr>
          <w:rFonts w:ascii="Times New Roman" w:hAnsi="Times New Roman" w:cs="Times New Roman"/>
          <w:rFonts w:ascii="Times New Roman" w:hAnsi="Times New Roman"/>
          <w:b w:val="0"/>
          <w:i w:val="0"/>
          <w:sz w:val="24"/>
        </w:rPr>
        <w:t>The JAMA benchmarks (Silberg et al., 1997) provide a concise accountability framework for evaluating health information. The instrument assesses four criteria, each scored dichotomously as present (Y) or absent (N): (a) Authorship—whether authors and their credentials or affiliations are clearly identified; (b) Attribution—whether references and sources for content are cited; (c) Disclosure—whether sponsorship, advertising, conflicts of interest, or financial relationships are declared; and (d) Currency—whether the date of content creation or most recent update is provided. The total JAMA score ranges from 0 to 4, representing the number of criteria met.</w:t>
      </w:r>
    </w:p>
    <w:p>
      <w:pPr>
        <w:spacing w:before="0" w:after="120" w:line="360" w:lineRule="auto"/>
        <w:ind w:firstLine="720"/>
        <w:jc w:val="both"/>
      </w:pPr>
      <w:r>
        <w:rPr>
          <w:rFonts w:ascii="Times New Roman" w:hAnsi="Times New Roman" w:cs="Times New Roman"/>
          <w:rFonts w:ascii="Times New Roman" w:hAnsi="Times New Roman"/>
          <w:b w:val="0"/>
          <w:i w:val="0"/>
          <w:sz w:val="24"/>
        </w:rPr>
        <w:t>To apply the JAMA benchmarks to social media content, which differs substantially in format from traditional web-based health information, the criteria were operationalised as described in Table 2.3. This operationalisation draws on adaptations employed in prior research assessing social media health content (Delli et al., 2016; Kocyigit et al., 2024).</w:t>
      </w:r>
    </w:p>
    <w:p>
      <w:pPr>
        <w:spacing w:before="240" w:after="0" w:line="360" w:lineRule="auto"/>
        <w:jc w:val="left"/>
      </w:pPr>
      <w:r>
        <w:rPr>
          <w:rFonts w:ascii="Times New Roman" w:hAnsi="Times New Roman" w:cs="Times New Roman"/>
          <w:rFonts w:ascii="Times New Roman" w:hAnsi="Times New Roman"/>
          <w:b/>
          <w:i w:val="0"/>
          <w:sz w:val="24"/>
        </w:rPr>
        <w:t>Table 2.3</w:t>
      </w:r>
    </w:p>
    <w:p>
      <w:pPr>
        <w:spacing w:before="0" w:after="120" w:line="360" w:lineRule="auto"/>
        <w:jc w:val="left"/>
      </w:pPr>
      <w:r>
        <w:rPr>
          <w:rFonts w:ascii="Times New Roman" w:hAnsi="Times New Roman" w:cs="Times New Roman"/>
          <w:rFonts w:ascii="Times New Roman" w:hAnsi="Times New Roman"/>
          <w:b w:val="0"/>
          <w:i/>
          <w:sz w:val="24"/>
        </w:rPr>
        <w:t>JAMA Benchmarks Criteria and Social Media Operationalisation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1417"/>
            <w:shd w:fill="D9E2F3"/>
          </w:tcPr>
          <w:p>
            <w:pPr>
              <w:spacing w:before="20" w:after="20" w:line="276" w:lineRule="auto"/>
              <w:jc w:val="center"/>
            </w:pPr>
            <w:r/>
            <w:r>
              <w:rPr>
                <w:rFonts w:ascii="Times New Roman" w:hAnsi="Times New Roman" w:cs="Times New Roman"/>
                <w:rFonts w:ascii="Times New Roman" w:hAnsi="Times New Roman"/>
                <w:b/>
                <w:i w:val="0"/>
                <w:sz w:val="20"/>
              </w:rPr>
              <w:t>Criterion</w:t>
            </w:r>
          </w:p>
        </w:tc>
        <w:tc>
          <w:tcPr>
            <w:tcW w:type="dxa" w:w="3118"/>
            <w:shd w:fill="D9E2F3"/>
          </w:tcPr>
          <w:p>
            <w:pPr>
              <w:spacing w:before="20" w:after="20" w:line="276" w:lineRule="auto"/>
              <w:jc w:val="center"/>
            </w:pPr>
            <w:r/>
            <w:r>
              <w:rPr>
                <w:rFonts w:ascii="Times New Roman" w:hAnsi="Times New Roman" w:cs="Times New Roman"/>
                <w:rFonts w:ascii="Times New Roman" w:hAnsi="Times New Roman"/>
                <w:b/>
                <w:i w:val="0"/>
                <w:sz w:val="20"/>
              </w:rPr>
              <w:t>Original Definition</w:t>
            </w:r>
          </w:p>
        </w:tc>
        <w:tc>
          <w:tcPr>
            <w:tcW w:type="dxa" w:w="4535"/>
            <w:shd w:fill="D9E2F3"/>
          </w:tcPr>
          <w:p>
            <w:pPr>
              <w:spacing w:before="20" w:after="20" w:line="276" w:lineRule="auto"/>
              <w:jc w:val="center"/>
            </w:pPr>
            <w:r/>
            <w:r>
              <w:rPr>
                <w:rFonts w:ascii="Times New Roman" w:hAnsi="Times New Roman" w:cs="Times New Roman"/>
                <w:rFonts w:ascii="Times New Roman" w:hAnsi="Times New Roman"/>
                <w:b/>
                <w:i w:val="0"/>
                <w:sz w:val="20"/>
              </w:rPr>
              <w:t>Social Media Operationalisation</w:t>
            </w:r>
          </w:p>
        </w:tc>
      </w:tr>
      <w:tr>
        <w:tc>
          <w:tcPr>
            <w:tcW w:type="dxa" w:w="1417"/>
          </w:tcPr>
          <w:p>
            <w:pPr>
              <w:spacing w:before="20" w:after="20" w:line="276" w:lineRule="auto"/>
              <w:jc w:val="center"/>
            </w:pPr>
            <w:r/>
            <w:r>
              <w:rPr>
                <w:rFonts w:ascii="Times New Roman" w:hAnsi="Times New Roman" w:cs="Times New Roman"/>
                <w:rFonts w:ascii="Times New Roman" w:hAnsi="Times New Roman"/>
                <w:b/>
                <w:i w:val="0"/>
                <w:sz w:val="20"/>
              </w:rPr>
              <w:t>Authorship</w:t>
            </w:r>
          </w:p>
        </w:tc>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Authors and credentials/affiliations identified</w:t>
            </w:r>
          </w:p>
        </w:tc>
        <w:tc>
          <w:tcPr>
            <w:tcW w:type="dxa" w:w="4535"/>
          </w:tcPr>
          <w:p>
            <w:pPr>
              <w:spacing w:before="20" w:after="20" w:line="276" w:lineRule="auto"/>
              <w:jc w:val="left"/>
            </w:pPr>
            <w:r/>
            <w:r>
              <w:rPr>
                <w:rFonts w:ascii="Times New Roman" w:hAnsi="Times New Roman" w:cs="Times New Roman"/>
                <w:rFonts w:ascii="Times New Roman" w:hAnsi="Times New Roman"/>
                <w:b w:val="0"/>
                <w:i w:val="0"/>
                <w:sz w:val="20"/>
              </w:rPr>
              <w:t>Creator bio states professional credentials (e.g., MD, PT, CSCS) or account is a verified professional/organisational account</w:t>
            </w:r>
          </w:p>
        </w:tc>
      </w:tr>
      <w:tr>
        <w:tc>
          <w:tcPr>
            <w:tcW w:type="dxa" w:w="1417"/>
          </w:tcPr>
          <w:p>
            <w:pPr>
              <w:spacing w:before="20" w:after="20" w:line="276" w:lineRule="auto"/>
              <w:jc w:val="center"/>
            </w:pPr>
            <w:r/>
            <w:r>
              <w:rPr>
                <w:rFonts w:ascii="Times New Roman" w:hAnsi="Times New Roman" w:cs="Times New Roman"/>
                <w:rFonts w:ascii="Times New Roman" w:hAnsi="Times New Roman"/>
                <w:b/>
                <w:i w:val="0"/>
                <w:sz w:val="20"/>
              </w:rPr>
              <w:t>Attribution</w:t>
            </w:r>
          </w:p>
        </w:tc>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References and sources for content are cited</w:t>
            </w:r>
          </w:p>
        </w:tc>
        <w:tc>
          <w:tcPr>
            <w:tcW w:type="dxa" w:w="4535"/>
          </w:tcPr>
          <w:p>
            <w:pPr>
              <w:spacing w:before="20" w:after="20" w:line="276" w:lineRule="auto"/>
              <w:jc w:val="left"/>
            </w:pPr>
            <w:r/>
            <w:r>
              <w:rPr>
                <w:rFonts w:ascii="Times New Roman" w:hAnsi="Times New Roman" w:cs="Times New Roman"/>
                <w:rFonts w:ascii="Times New Roman" w:hAnsi="Times New Roman"/>
                <w:b w:val="0"/>
                <w:i w:val="0"/>
                <w:sz w:val="20"/>
              </w:rPr>
              <w:t>Content cites scientific studies, clinical guidelines, or other sources in video, caption, description, or on-screen text references</w:t>
            </w:r>
          </w:p>
        </w:tc>
      </w:tr>
      <w:tr>
        <w:tc>
          <w:tcPr>
            <w:tcW w:type="dxa" w:w="1417"/>
          </w:tcPr>
          <w:p>
            <w:pPr>
              <w:spacing w:before="20" w:after="20" w:line="276" w:lineRule="auto"/>
              <w:jc w:val="center"/>
            </w:pPr>
            <w:r/>
            <w:r>
              <w:rPr>
                <w:rFonts w:ascii="Times New Roman" w:hAnsi="Times New Roman" w:cs="Times New Roman"/>
                <w:rFonts w:ascii="Times New Roman" w:hAnsi="Times New Roman"/>
                <w:b/>
                <w:i w:val="0"/>
                <w:sz w:val="20"/>
              </w:rPr>
              <w:t>Disclosure</w:t>
            </w:r>
          </w:p>
        </w:tc>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Sponsorship, advertising, or conflicts of interest declared</w:t>
            </w:r>
          </w:p>
        </w:tc>
        <w:tc>
          <w:tcPr>
            <w:tcW w:type="dxa" w:w="4535"/>
          </w:tcPr>
          <w:p>
            <w:pPr>
              <w:spacing w:before="20" w:after="20" w:line="276" w:lineRule="auto"/>
              <w:jc w:val="left"/>
            </w:pPr>
            <w:r/>
            <w:r>
              <w:rPr>
                <w:rFonts w:ascii="Times New Roman" w:hAnsi="Times New Roman" w:cs="Times New Roman"/>
                <w:rFonts w:ascii="Times New Roman" w:hAnsi="Times New Roman"/>
                <w:b w:val="0"/>
                <w:i w:val="0"/>
                <w:sz w:val="20"/>
              </w:rPr>
              <w:t>Content discloses sponsorships, partnerships, or paid promotions (e.g., #ad, #sponsored, platform-provided paid partnership label)</w:t>
            </w:r>
          </w:p>
        </w:tc>
      </w:tr>
      <w:tr>
        <w:tc>
          <w:tcPr>
            <w:tcW w:type="dxa" w:w="1417"/>
          </w:tcPr>
          <w:p>
            <w:pPr>
              <w:spacing w:before="20" w:after="20" w:line="276" w:lineRule="auto"/>
              <w:jc w:val="center"/>
            </w:pPr>
            <w:r/>
            <w:r>
              <w:rPr>
                <w:rFonts w:ascii="Times New Roman" w:hAnsi="Times New Roman" w:cs="Times New Roman"/>
                <w:rFonts w:ascii="Times New Roman" w:hAnsi="Times New Roman"/>
                <w:b/>
                <w:i w:val="0"/>
                <w:sz w:val="20"/>
              </w:rPr>
              <w:t>Currency</w:t>
            </w:r>
          </w:p>
        </w:tc>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Date of content creation or update provided</w:t>
            </w:r>
          </w:p>
        </w:tc>
        <w:tc>
          <w:tcPr>
            <w:tcW w:type="dxa" w:w="4535"/>
          </w:tcPr>
          <w:p>
            <w:pPr>
              <w:spacing w:before="20" w:after="20" w:line="276" w:lineRule="auto"/>
              <w:jc w:val="left"/>
            </w:pPr>
            <w:r/>
            <w:r>
              <w:rPr>
                <w:rFonts w:ascii="Times New Roman" w:hAnsi="Times New Roman" w:cs="Times New Roman"/>
                <w:rFonts w:ascii="Times New Roman" w:hAnsi="Times New Roman"/>
                <w:b w:val="0"/>
                <w:i w:val="0"/>
                <w:sz w:val="20"/>
              </w:rPr>
              <w:t>Post or publication date is visible (inherent feature of most social media platforms; for websites, date must be explicitly displayed)</w:t>
            </w:r>
          </w:p>
        </w:tc>
      </w:tr>
    </w:tbl>
    <w:p>
      <w:pPr>
        <w:spacing w:before="60" w:after="240" w:line="240" w:lineRule="auto"/>
      </w:pPr>
      <w:r>
        <w:rPr>
          <w:rFonts w:ascii="Times New Roman" w:hAnsi="Times New Roman" w:cs="Times New Roman"/>
          <w:rFonts w:ascii="Times New Roman" w:hAnsi="Times New Roman"/>
          <w:b w:val="0"/>
          <w:i/>
          <w:sz w:val="20"/>
        </w:rPr>
        <w:t xml:space="preserve">Note. </w:t>
      </w:r>
      <w:r>
        <w:rPr>
          <w:rFonts w:ascii="Times New Roman" w:hAnsi="Times New Roman" w:cs="Times New Roman"/>
          <w:rFonts w:ascii="Times New Roman" w:hAnsi="Times New Roman"/>
          <w:b w:val="0"/>
          <w:i w:val="0"/>
          <w:sz w:val="20"/>
        </w:rPr>
        <w:t>Adapted from “Assessing, controlling, and assuring the quality of medical information on the internet,” by W. M. Silberg, G. D. Lundberg, and R. A. Musacchio, 1997, JAMA, 277(15), 1244–1245. Each criterion is scored as present (Y) or absent (N). CSCS = Certified Strength and Conditioning Specialist; MD = Medical Doctor; PT = Physical Therapist.</w:t>
      </w:r>
    </w:p>
    <w:p>
      <w:pPr>
        <w:spacing w:before="160" w:after="120" w:line="360" w:lineRule="auto"/>
        <w:jc w:val="left"/>
      </w:pPr>
      <w:r>
        <w:rPr>
          <w:rFonts w:ascii="Times New Roman" w:hAnsi="Times New Roman" w:cs="Times New Roman"/>
          <w:rFonts w:ascii="Times New Roman" w:hAnsi="Times New Roman"/>
          <w:b/>
          <w:i w:val="0"/>
          <w:sz w:val="24"/>
        </w:rPr>
        <w:t>2.5.3 Additional Variables</w:t>
      </w:r>
    </w:p>
    <w:p>
      <w:pPr>
        <w:spacing w:before="0" w:after="120" w:line="360" w:lineRule="auto"/>
        <w:ind w:firstLine="720"/>
        <w:jc w:val="both"/>
      </w:pPr>
      <w:r>
        <w:rPr>
          <w:rFonts w:ascii="Times New Roman" w:hAnsi="Times New Roman" w:cs="Times New Roman"/>
          <w:rFonts w:ascii="Times New Roman" w:hAnsi="Times New Roman"/>
          <w:b w:val="0"/>
          <w:i w:val="0"/>
          <w:sz w:val="24"/>
        </w:rPr>
        <w:t>In addition to the primary quality assessment instruments, several supplementary variables were recorded for each content item to facilitate secondary analyses examining the moderating role of creator characteristics and content features on information quality.</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Creator type classification. </w:t>
      </w:r>
      <w:r>
        <w:rPr>
          <w:rFonts w:ascii="Times New Roman" w:hAnsi="Times New Roman" w:cs="Times New Roman"/>
          <w:rFonts w:ascii="Times New Roman" w:hAnsi="Times New Roman"/>
          <w:b w:val="0"/>
          <w:i w:val="0"/>
          <w:sz w:val="24"/>
        </w:rPr>
        <w:t>Each content creator was classified into one of five categories based on the information available in their profile, bio, and content: (a) Healthcare professional (e.g., physicians, physiotherapists, registered nurses), (b) Certified fitness professional (e.g., certified personal trainers, strength and conditioning specialists), (c) Fitness influencer (individuals with substantial followings who create fitness content without verified professional credentials), (d) General user (individuals without identifiable fitness or health credentials), and (e) Organisation (institutional accounts such as hospitals, health agencies, or fitness organisations). This classification scheme was developed based on typologies employed in prior research on health information creators (Kocyigit et al., 2024; Yurdaisik, 2022).</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Engagement metrics. </w:t>
      </w:r>
      <w:r>
        <w:rPr>
          <w:rFonts w:ascii="Times New Roman" w:hAnsi="Times New Roman" w:cs="Times New Roman"/>
          <w:rFonts w:ascii="Times New Roman" w:hAnsi="Times New Roman"/>
          <w:b w:val="0"/>
          <w:i w:val="0"/>
          <w:sz w:val="24"/>
        </w:rPr>
        <w:t>Where available, the following engagement metrics were recorded at the time of data collection: total views, likes (or equivalent reactions), shares, and comments. These metrics serve as indicators of content reach and audience interaction, enabling the examination of the relationship between content popularity and information quality (Osman et al., 2022).</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Content format. </w:t>
      </w:r>
      <w:r>
        <w:rPr>
          <w:rFonts w:ascii="Times New Roman" w:hAnsi="Times New Roman" w:cs="Times New Roman"/>
          <w:rFonts w:ascii="Times New Roman" w:hAnsi="Times New Roman"/>
          <w:b w:val="0"/>
          <w:i w:val="0"/>
          <w:sz w:val="24"/>
        </w:rPr>
        <w:t>Each content item was classified by format: (a) Text article (traditional websites), (b) Long-form video (&gt;5 minutes; primarily YouTube), (c) Short-form video (&lt;60 seconds; primarily TikTok and Instagram Reels), (d) Image with caption (primarily Instagram posts), and (e) Carousel (multi-image Instagram posts). This classification enables the examination of whether content format is associated with information quality.</w:t>
      </w:r>
    </w:p>
    <w:p>
      <w:pPr>
        <w:spacing w:before="240" w:after="120" w:line="360" w:lineRule="auto"/>
        <w:jc w:val="left"/>
      </w:pPr>
      <w:r>
        <w:rPr>
          <w:rFonts w:ascii="Times New Roman" w:hAnsi="Times New Roman" w:cs="Times New Roman"/>
          <w:rFonts w:ascii="Times New Roman" w:hAnsi="Times New Roman"/>
          <w:b/>
          <w:i w:val="0"/>
          <w:sz w:val="24"/>
        </w:rPr>
        <w:t>2.6 Research Organisation</w:t>
      </w:r>
    </w:p>
    <w:p>
      <w:pPr>
        <w:spacing w:before="0" w:after="120" w:line="360" w:lineRule="auto"/>
        <w:ind w:firstLine="720"/>
        <w:jc w:val="both"/>
      </w:pPr>
      <w:r>
        <w:rPr>
          <w:rFonts w:ascii="Times New Roman" w:hAnsi="Times New Roman" w:cs="Times New Roman"/>
          <w:rFonts w:ascii="Times New Roman" w:hAnsi="Times New Roman"/>
          <w:b w:val="0"/>
          <w:i w:val="0"/>
          <w:sz w:val="24"/>
        </w:rPr>
        <w:t>The study was conducted over a defined period from February to March 2026, with data collection completed within a concentrated two-day window to minimise temporal variation in search results and engagement metrics. The research process was organised into six sequential phases, as illustrated in Figure 2.1.</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Phase 1: Automated data collection (Day 1). </w:t>
      </w:r>
      <w:r>
        <w:rPr>
          <w:rFonts w:ascii="Times New Roman" w:hAnsi="Times New Roman" w:cs="Times New Roman"/>
          <w:rFonts w:ascii="Times New Roman" w:hAnsi="Times New Roman"/>
          <w:b w:val="0"/>
          <w:i w:val="0"/>
          <w:sz w:val="24"/>
        </w:rPr>
        <w:t>Playwright browser automation scripts were executed to collect search results from Google and YouTube. The scripts performed searches for all five search terms, captured the top 10 results per term, and recorded URLs, metadata, and screenshots.</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Phase 2: Manual data collection (Days 1–2). </w:t>
      </w:r>
      <w:r>
        <w:rPr>
          <w:rFonts w:ascii="Times New Roman" w:hAnsi="Times New Roman" w:cs="Times New Roman"/>
          <w:rFonts w:ascii="Times New Roman" w:hAnsi="Times New Roman"/>
          <w:b w:val="0"/>
          <w:i w:val="0"/>
          <w:sz w:val="24"/>
        </w:rPr>
        <w:t>The primary researcher manually collected search results from TikTok and Instagram using the platform-native search functions. Results were recorded in the same standardised format as the automated collection.</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Phase 3: Primary quality assessment. </w:t>
      </w:r>
      <w:r>
        <w:rPr>
          <w:rFonts w:ascii="Times New Roman" w:hAnsi="Times New Roman" w:cs="Times New Roman"/>
          <w:rFonts w:ascii="Times New Roman" w:hAnsi="Times New Roman"/>
          <w:b w:val="0"/>
          <w:i w:val="0"/>
          <w:sz w:val="24"/>
        </w:rPr>
        <w:t>The primary researcher assessed all 200 content items using both the DISCERN instrument and the JAMA benchmarks. Each content item was reviewed in its entirety, and scores were recorded in a structured data collection spreadsheet.</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Phase 4: Second rater assessment. </w:t>
      </w:r>
      <w:r>
        <w:rPr>
          <w:rFonts w:ascii="Times New Roman" w:hAnsi="Times New Roman" w:cs="Times New Roman"/>
          <w:rFonts w:ascii="Times New Roman" w:hAnsi="Times New Roman"/>
          <w:b w:val="0"/>
          <w:i w:val="0"/>
          <w:sz w:val="24"/>
        </w:rPr>
        <w:t>A trained second rater independently scored a 20% subsample of content items (n = 40; 10 randomly selected items per platform) using both instruments. The second rater was provided with the same scoring guidelines and training materials as the primary researcher to ensure standardised application of the assessment criteria.</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Phase 5: Inter-rater reliability assessment. </w:t>
      </w:r>
      <w:r>
        <w:rPr>
          <w:rFonts w:ascii="Times New Roman" w:hAnsi="Times New Roman" w:cs="Times New Roman"/>
          <w:rFonts w:ascii="Times New Roman" w:hAnsi="Times New Roman"/>
          <w:b w:val="0"/>
          <w:i w:val="0"/>
          <w:sz w:val="24"/>
        </w:rPr>
        <w:t>Agreement between the primary researcher and the second rater was evaluated using the Intraclass Correlation Coefficient (ICC) for DISCERN scores and Cohen’s kappa (κ) for JAMA criteria. These metrics are reported in the Results chapter.</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Phase 6: Statistical analysis. </w:t>
      </w:r>
      <w:r>
        <w:rPr>
          <w:rFonts w:ascii="Times New Roman" w:hAnsi="Times New Roman" w:cs="Times New Roman"/>
          <w:rFonts w:ascii="Times New Roman" w:hAnsi="Times New Roman"/>
          <w:b w:val="0"/>
          <w:i w:val="0"/>
          <w:sz w:val="24"/>
        </w:rPr>
        <w:t>Following the completion of quality assessments, all data were compiled and analysed using R statistical software, as detailed in Section 2.7.</w:t>
      </w:r>
    </w:p>
    <w:p>
      <w:pPr>
        <w:spacing w:before="120" w:after="0" w:line="360" w:lineRule="auto"/>
        <w:jc w:val="both"/>
      </w:pPr>
      <w:r>
        <w:rPr>
          <w:rFonts w:ascii="Times New Roman" w:hAnsi="Times New Roman" w:cs="Times New Roman"/>
          <w:rFonts w:ascii="Times New Roman" w:hAnsi="Times New Roman"/>
          <w:b w:val="0"/>
          <w:i w:val="0"/>
          <w:sz w:val="24"/>
        </w:rPr>
      </w:r>
    </w:p>
    <w:p>
      <w:pPr>
        <w:spacing w:before="240" w:after="0" w:line="360" w:lineRule="auto"/>
        <w:jc w:val="center"/>
      </w:pPr>
      <w:r>
        <w:rPr>
          <w:rFonts w:ascii="Times New Roman" w:hAnsi="Times New Roman" w:cs="Times New Roman"/>
          <w:rFonts w:ascii="Times New Roman" w:hAnsi="Times New Roman"/>
          <w:b/>
          <w:i w:val="0"/>
          <w:sz w:val="24"/>
        </w:rPr>
        <w:t>Figure 2.1</w:t>
      </w:r>
    </w:p>
    <w:p>
      <w:pPr>
        <w:spacing w:before="0" w:after="120" w:line="360" w:lineRule="auto"/>
        <w:jc w:val="center"/>
      </w:pPr>
      <w:r>
        <w:rPr>
          <w:rFonts w:ascii="Times New Roman" w:hAnsi="Times New Roman" w:cs="Times New Roman"/>
          <w:rFonts w:ascii="Times New Roman" w:hAnsi="Times New Roman"/>
          <w:b w:val="0"/>
          <w:i/>
          <w:sz w:val="24"/>
        </w:rPr>
        <w:t>Flow Diagram of the Research Process</w:t>
      </w:r>
    </w:p>
    <w:tbl>
      <w:tblPr>
        <w:tblW w:type="auto" w:w="0"/>
        <w:jc w:val="center"/>
        <w:tblLook w:firstColumn="1" w:firstRow="1" w:lastColumn="0" w:lastRow="0" w:noHBand="0" w:noVBand="1" w:val="04A0"/>
      </w:tblPr>
      <w:tblGrid>
        <w:gridCol w:w="9026"/>
      </w:tblGrid>
      <w:tr>
        <w:tc>
          <w:tcPr>
            <w:tcW w:type="dxa" w:w="5669"/>
            <w:tcBorders>
              <w:top w:val="single" w:sz="8" w:space="0" w:color="000000"/>
              <w:bottom w:val="single" w:sz="8" w:space="0" w:color="000000"/>
              <w:left w:val="single" w:sz="8" w:space="0" w:color="000000"/>
              <w:right w:val="single" w:sz="8" w:space="0" w:color="000000"/>
            </w:tcBorders>
          </w:tcPr>
          <w:p>
            <w:pPr>
              <w:jc w:val="center"/>
            </w:pPr>
            <w:r/>
            <w:r>
              <w:rPr>
                <w:rFonts w:ascii="Times New Roman" w:hAnsi="Times New Roman" w:cs="Times New Roman"/>
                <w:rFonts w:ascii="Times New Roman" w:hAnsi="Times New Roman"/>
                <w:b w:val="0"/>
                <w:i w:val="0"/>
                <w:sz w:val="20"/>
              </w:rPr>
              <w:t>Phase 1: Automated Data Collection</w:t>
              <w:br/>
              <w:t>(Google &amp; YouTube via Playwright – Day 1)</w:t>
            </w:r>
          </w:p>
        </w:tc>
      </w:tr>
      <w:tr>
        <w:tc>
          <w:tcPr>
            <w:tcW w:type="dxa" w:w="5669"/>
            <w:tcBorders>
              <w:top w:val="none" w:sz="0" w:space="0" w:color="FFFFFF"/>
              <w:bottom w:val="none" w:sz="0" w:space="0" w:color="FFFFFF"/>
              <w:left w:val="none" w:sz="0" w:space="0" w:color="FFFFFF"/>
              <w:right w:val="none" w:sz="0" w:space="0" w:color="FFFFFF"/>
            </w:tcBorders>
          </w:tcPr>
          <w:p>
            <w:pPr>
              <w:jc w:val="center"/>
            </w:pPr>
            <w:r/>
            <w:r>
              <w:rPr>
                <w:rFonts w:ascii="Times New Roman" w:hAnsi="Times New Roman" w:cs="Times New Roman"/>
                <w:rFonts w:ascii="Times New Roman" w:hAnsi="Times New Roman"/>
                <w:b/>
                <w:i w:val="0"/>
                <w:sz w:val="28"/>
              </w:rPr>
              <w:t>↓</w:t>
            </w:r>
          </w:p>
        </w:tc>
      </w:tr>
      <w:tr>
        <w:tc>
          <w:tcPr>
            <w:tcW w:type="dxa" w:w="5669"/>
            <w:tcBorders>
              <w:top w:val="single" w:sz="8" w:space="0" w:color="000000"/>
              <w:bottom w:val="single" w:sz="8" w:space="0" w:color="000000"/>
              <w:left w:val="single" w:sz="8" w:space="0" w:color="000000"/>
              <w:right w:val="single" w:sz="8" w:space="0" w:color="000000"/>
            </w:tcBorders>
          </w:tcPr>
          <w:p>
            <w:pPr>
              <w:jc w:val="center"/>
            </w:pPr>
            <w:r/>
            <w:r>
              <w:rPr>
                <w:rFonts w:ascii="Times New Roman" w:hAnsi="Times New Roman" w:cs="Times New Roman"/>
                <w:rFonts w:ascii="Times New Roman" w:hAnsi="Times New Roman"/>
                <w:b w:val="0"/>
                <w:i w:val="0"/>
                <w:sz w:val="20"/>
              </w:rPr>
              <w:t>Phase 2: Manual Data Collection</w:t>
              <w:br/>
              <w:t>(TikTok &amp; Instagram – Days 1–2)</w:t>
            </w:r>
          </w:p>
        </w:tc>
      </w:tr>
      <w:tr>
        <w:tc>
          <w:tcPr>
            <w:tcW w:type="dxa" w:w="5669"/>
            <w:tcBorders>
              <w:top w:val="none" w:sz="0" w:space="0" w:color="FFFFFF"/>
              <w:bottom w:val="none" w:sz="0" w:space="0" w:color="FFFFFF"/>
              <w:left w:val="none" w:sz="0" w:space="0" w:color="FFFFFF"/>
              <w:right w:val="none" w:sz="0" w:space="0" w:color="FFFFFF"/>
            </w:tcBorders>
          </w:tcPr>
          <w:p>
            <w:pPr>
              <w:jc w:val="center"/>
            </w:pPr>
            <w:r/>
            <w:r>
              <w:rPr>
                <w:rFonts w:ascii="Times New Roman" w:hAnsi="Times New Roman" w:cs="Times New Roman"/>
                <w:rFonts w:ascii="Times New Roman" w:hAnsi="Times New Roman"/>
                <w:b/>
                <w:i w:val="0"/>
                <w:sz w:val="28"/>
              </w:rPr>
              <w:t>↓</w:t>
            </w:r>
          </w:p>
        </w:tc>
      </w:tr>
      <w:tr>
        <w:tc>
          <w:tcPr>
            <w:tcW w:type="dxa" w:w="5669"/>
            <w:tcBorders>
              <w:top w:val="single" w:sz="8" w:space="0" w:color="000000"/>
              <w:bottom w:val="single" w:sz="8" w:space="0" w:color="000000"/>
              <w:left w:val="single" w:sz="8" w:space="0" w:color="000000"/>
              <w:right w:val="single" w:sz="8" w:space="0" w:color="000000"/>
            </w:tcBorders>
          </w:tcPr>
          <w:p>
            <w:pPr>
              <w:jc w:val="center"/>
            </w:pPr>
            <w:r/>
            <w:r>
              <w:rPr>
                <w:rFonts w:ascii="Times New Roman" w:hAnsi="Times New Roman" w:cs="Times New Roman"/>
                <w:rFonts w:ascii="Times New Roman" w:hAnsi="Times New Roman"/>
                <w:b w:val="0"/>
                <w:i w:val="0"/>
                <w:sz w:val="20"/>
              </w:rPr>
              <w:t>Phase 3: Primary DISCERN &amp; JAMA Assessment</w:t>
              <w:br/>
              <w:t>(N = 200 content items)</w:t>
            </w:r>
          </w:p>
        </w:tc>
      </w:tr>
      <w:tr>
        <w:tc>
          <w:tcPr>
            <w:tcW w:type="dxa" w:w="5669"/>
            <w:tcBorders>
              <w:top w:val="none" w:sz="0" w:space="0" w:color="FFFFFF"/>
              <w:bottom w:val="none" w:sz="0" w:space="0" w:color="FFFFFF"/>
              <w:left w:val="none" w:sz="0" w:space="0" w:color="FFFFFF"/>
              <w:right w:val="none" w:sz="0" w:space="0" w:color="FFFFFF"/>
            </w:tcBorders>
          </w:tcPr>
          <w:p>
            <w:pPr>
              <w:jc w:val="center"/>
            </w:pPr>
            <w:r/>
            <w:r>
              <w:rPr>
                <w:rFonts w:ascii="Times New Roman" w:hAnsi="Times New Roman" w:cs="Times New Roman"/>
                <w:rFonts w:ascii="Times New Roman" w:hAnsi="Times New Roman"/>
                <w:b/>
                <w:i w:val="0"/>
                <w:sz w:val="28"/>
              </w:rPr>
              <w:t>↓</w:t>
            </w:r>
          </w:p>
        </w:tc>
      </w:tr>
      <w:tr>
        <w:tc>
          <w:tcPr>
            <w:tcW w:type="dxa" w:w="5669"/>
            <w:tcBorders>
              <w:top w:val="single" w:sz="8" w:space="0" w:color="000000"/>
              <w:bottom w:val="single" w:sz="8" w:space="0" w:color="000000"/>
              <w:left w:val="single" w:sz="8" w:space="0" w:color="000000"/>
              <w:right w:val="single" w:sz="8" w:space="0" w:color="000000"/>
            </w:tcBorders>
          </w:tcPr>
          <w:p>
            <w:pPr>
              <w:jc w:val="center"/>
            </w:pPr>
            <w:r/>
            <w:r>
              <w:rPr>
                <w:rFonts w:ascii="Times New Roman" w:hAnsi="Times New Roman" w:cs="Times New Roman"/>
                <w:rFonts w:ascii="Times New Roman" w:hAnsi="Times New Roman"/>
                <w:b w:val="0"/>
                <w:i w:val="0"/>
                <w:sz w:val="20"/>
              </w:rPr>
              <w:t>Phase 4: Second Rater Assessment</w:t>
              <w:br/>
              <w:t>(20% subsample, n = 40)</w:t>
            </w:r>
          </w:p>
        </w:tc>
      </w:tr>
      <w:tr>
        <w:tc>
          <w:tcPr>
            <w:tcW w:type="dxa" w:w="5669"/>
            <w:tcBorders>
              <w:top w:val="none" w:sz="0" w:space="0" w:color="FFFFFF"/>
              <w:bottom w:val="none" w:sz="0" w:space="0" w:color="FFFFFF"/>
              <w:left w:val="none" w:sz="0" w:space="0" w:color="FFFFFF"/>
              <w:right w:val="none" w:sz="0" w:space="0" w:color="FFFFFF"/>
            </w:tcBorders>
          </w:tcPr>
          <w:p>
            <w:pPr>
              <w:jc w:val="center"/>
            </w:pPr>
            <w:r/>
            <w:r>
              <w:rPr>
                <w:rFonts w:ascii="Times New Roman" w:hAnsi="Times New Roman" w:cs="Times New Roman"/>
                <w:rFonts w:ascii="Times New Roman" w:hAnsi="Times New Roman"/>
                <w:b/>
                <w:i w:val="0"/>
                <w:sz w:val="28"/>
              </w:rPr>
              <w:t>↓</w:t>
            </w:r>
          </w:p>
        </w:tc>
      </w:tr>
      <w:tr>
        <w:tc>
          <w:tcPr>
            <w:tcW w:type="dxa" w:w="5669"/>
            <w:tcBorders>
              <w:top w:val="single" w:sz="8" w:space="0" w:color="000000"/>
              <w:bottom w:val="single" w:sz="8" w:space="0" w:color="000000"/>
              <w:left w:val="single" w:sz="8" w:space="0" w:color="000000"/>
              <w:right w:val="single" w:sz="8" w:space="0" w:color="000000"/>
            </w:tcBorders>
          </w:tcPr>
          <w:p>
            <w:pPr>
              <w:jc w:val="center"/>
            </w:pPr>
            <w:r/>
            <w:r>
              <w:rPr>
                <w:rFonts w:ascii="Times New Roman" w:hAnsi="Times New Roman" w:cs="Times New Roman"/>
                <w:rFonts w:ascii="Times New Roman" w:hAnsi="Times New Roman"/>
                <w:b w:val="0"/>
                <w:i w:val="0"/>
                <w:sz w:val="20"/>
              </w:rPr>
              <w:t>Phase 5: Inter-Rater Reliability</w:t>
              <w:br/>
              <w:t>(ICC for DISCERN; Cohen’s κ for JAMA)</w:t>
            </w:r>
          </w:p>
        </w:tc>
      </w:tr>
      <w:tr>
        <w:tc>
          <w:tcPr>
            <w:tcW w:type="dxa" w:w="5669"/>
            <w:tcBorders>
              <w:top w:val="none" w:sz="0" w:space="0" w:color="FFFFFF"/>
              <w:bottom w:val="none" w:sz="0" w:space="0" w:color="FFFFFF"/>
              <w:left w:val="none" w:sz="0" w:space="0" w:color="FFFFFF"/>
              <w:right w:val="none" w:sz="0" w:space="0" w:color="FFFFFF"/>
            </w:tcBorders>
          </w:tcPr>
          <w:p>
            <w:pPr>
              <w:jc w:val="center"/>
            </w:pPr>
            <w:r/>
            <w:r>
              <w:rPr>
                <w:rFonts w:ascii="Times New Roman" w:hAnsi="Times New Roman" w:cs="Times New Roman"/>
                <w:rFonts w:ascii="Times New Roman" w:hAnsi="Times New Roman"/>
                <w:b/>
                <w:i w:val="0"/>
                <w:sz w:val="28"/>
              </w:rPr>
              <w:t>↓</w:t>
            </w:r>
          </w:p>
        </w:tc>
      </w:tr>
      <w:tr>
        <w:tc>
          <w:tcPr>
            <w:tcW w:type="dxa" w:w="5669"/>
            <w:tcBorders>
              <w:top w:val="single" w:sz="8" w:space="0" w:color="000000"/>
              <w:bottom w:val="single" w:sz="8" w:space="0" w:color="000000"/>
              <w:left w:val="single" w:sz="8" w:space="0" w:color="000000"/>
              <w:right w:val="single" w:sz="8" w:space="0" w:color="000000"/>
            </w:tcBorders>
          </w:tcPr>
          <w:p>
            <w:pPr>
              <w:jc w:val="center"/>
            </w:pPr>
            <w:r/>
            <w:r>
              <w:rPr>
                <w:rFonts w:ascii="Times New Roman" w:hAnsi="Times New Roman" w:cs="Times New Roman"/>
                <w:rFonts w:ascii="Times New Roman" w:hAnsi="Times New Roman"/>
                <w:b w:val="0"/>
                <w:i w:val="0"/>
                <w:sz w:val="20"/>
              </w:rPr>
              <w:t>Phase 6: Statistical Analysis</w:t>
              <w:br/>
              <w:t>(R statistical environment)</w:t>
            </w:r>
          </w:p>
        </w:tc>
      </w:tr>
    </w:tbl>
    <w:p>
      <w:pPr>
        <w:spacing w:before="60" w:after="240" w:line="240" w:lineRule="auto"/>
        <w:jc w:val="center"/>
      </w:pPr>
      <w:r>
        <w:rPr>
          <w:rFonts w:ascii="Times New Roman" w:hAnsi="Times New Roman" w:cs="Times New Roman"/>
          <w:rFonts w:ascii="Times New Roman" w:hAnsi="Times New Roman"/>
          <w:b w:val="0"/>
          <w:i/>
          <w:sz w:val="20"/>
        </w:rPr>
        <w:t xml:space="preserve">Note. </w:t>
      </w:r>
      <w:r>
        <w:rPr>
          <w:rFonts w:ascii="Times New Roman" w:hAnsi="Times New Roman" w:cs="Times New Roman"/>
          <w:rFonts w:ascii="Times New Roman" w:hAnsi="Times New Roman"/>
          <w:b w:val="0"/>
          <w:i w:val="0"/>
          <w:sz w:val="20"/>
        </w:rPr>
        <w:t>The research process proceeded sequentially through six phases over the study period (February–March 2026).</w:t>
      </w:r>
    </w:p>
    <w:p>
      <w:pPr>
        <w:spacing w:before="160" w:after="120" w:line="360" w:lineRule="auto"/>
        <w:jc w:val="left"/>
      </w:pPr>
      <w:r>
        <w:rPr>
          <w:rFonts w:ascii="Times New Roman" w:hAnsi="Times New Roman" w:cs="Times New Roman"/>
          <w:rFonts w:ascii="Times New Roman" w:hAnsi="Times New Roman"/>
          <w:b/>
          <w:i w:val="0"/>
          <w:sz w:val="24"/>
        </w:rPr>
        <w:t>2.6.1 Ethical Considerations</w:t>
      </w:r>
    </w:p>
    <w:p>
      <w:pPr>
        <w:spacing w:before="0" w:after="120" w:line="360" w:lineRule="auto"/>
        <w:ind w:firstLine="720"/>
        <w:jc w:val="both"/>
      </w:pPr>
      <w:r>
        <w:rPr>
          <w:rFonts w:ascii="Times New Roman" w:hAnsi="Times New Roman" w:cs="Times New Roman"/>
          <w:rFonts w:ascii="Times New Roman" w:hAnsi="Times New Roman"/>
          <w:b w:val="0"/>
          <w:i w:val="0"/>
          <w:sz w:val="24"/>
        </w:rPr>
        <w:t>The present study does not involve human subjects, as all data were derived from publicly available online content. Consequently, formal ethics committee approval was not required, consistent with standard practice for content analyses of publicly accessible materials (Snelson, 2016). No personal data of content creators were collected beyond publicly displayed profile information relevant to the creator type classification. All content was accessed through standard public-facing interfaces, and no private or restricted materials were accessed at any point during the data collection process.</w:t>
      </w:r>
    </w:p>
    <w:p>
      <w:pPr>
        <w:spacing w:before="240" w:after="120" w:line="360" w:lineRule="auto"/>
        <w:jc w:val="left"/>
      </w:pPr>
      <w:r>
        <w:rPr>
          <w:rFonts w:ascii="Times New Roman" w:hAnsi="Times New Roman" w:cs="Times New Roman"/>
          <w:rFonts w:ascii="Times New Roman" w:hAnsi="Times New Roman"/>
          <w:b/>
          <w:i w:val="0"/>
          <w:sz w:val="24"/>
        </w:rPr>
        <w:t>2.7 Methods of Statistical Analysis</w:t>
      </w:r>
    </w:p>
    <w:p>
      <w:pPr>
        <w:spacing w:before="0" w:after="120" w:line="360" w:lineRule="auto"/>
        <w:ind w:firstLine="720"/>
        <w:jc w:val="both"/>
      </w:pPr>
      <w:r>
        <w:rPr>
          <w:rFonts w:ascii="Times New Roman" w:hAnsi="Times New Roman" w:cs="Times New Roman"/>
          <w:rFonts w:ascii="Times New Roman" w:hAnsi="Times New Roman"/>
          <w:b w:val="0"/>
          <w:i w:val="0"/>
          <w:sz w:val="24"/>
        </w:rPr>
        <w:t>All statistical analyses were conducted using the R statistical environment (R Core Team, 2024) with the following packages: tidyverse for data manipulation and visualisation (Wickham et al., 2019), FSA and dunn.test for non-parametric post-hoc comparisons (Ogle et al., 2023; Dinno, 2017), irr for inter-rater reliability calculations (Gamer et al., 2019), DescTools for effect size computations (Signorell, 2024), and ggplot2 for publication-quality graphical representations (Wickham, 2016). The significance level was set at α = 0.05 for all inferential tests.</w:t>
      </w:r>
    </w:p>
    <w:p>
      <w:pPr>
        <w:spacing w:before="160" w:after="120" w:line="360" w:lineRule="auto"/>
        <w:jc w:val="left"/>
      </w:pPr>
      <w:r>
        <w:rPr>
          <w:rFonts w:ascii="Times New Roman" w:hAnsi="Times New Roman" w:cs="Times New Roman"/>
          <w:rFonts w:ascii="Times New Roman" w:hAnsi="Times New Roman"/>
          <w:b/>
          <w:i w:val="0"/>
          <w:sz w:val="24"/>
        </w:rPr>
        <w:t>2.7.1 Descriptive Statistics</w:t>
      </w:r>
    </w:p>
    <w:p>
      <w:pPr>
        <w:spacing w:before="0" w:after="120" w:line="360" w:lineRule="auto"/>
        <w:ind w:firstLine="720"/>
        <w:jc w:val="both"/>
      </w:pPr>
      <w:r>
        <w:rPr>
          <w:rFonts w:ascii="Times New Roman" w:hAnsi="Times New Roman" w:cs="Times New Roman"/>
          <w:rFonts w:ascii="Times New Roman" w:hAnsi="Times New Roman"/>
          <w:b w:val="0"/>
          <w:i w:val="0"/>
          <w:sz w:val="24"/>
        </w:rPr>
        <w:t>Descriptive statistics were employed to characterise the distribution of quality scores across platforms and content categories. For DISCERN total scores, the median, interquartile range (IQR), and range were reported for each platform, as ordinal Likert-type data are best represented by median-based measures of central tendency (Sullivan &amp; Artino, 2013). For JAMA benchmarks, frequencies and percentages of compliance for each criterion were calculated per platform, along with overall JAMA score distributions.</w:t>
      </w:r>
    </w:p>
    <w:p>
      <w:pPr>
        <w:spacing w:before="160" w:after="120" w:line="360" w:lineRule="auto"/>
        <w:jc w:val="left"/>
      </w:pPr>
      <w:r>
        <w:rPr>
          <w:rFonts w:ascii="Times New Roman" w:hAnsi="Times New Roman" w:cs="Times New Roman"/>
          <w:rFonts w:ascii="Times New Roman" w:hAnsi="Times New Roman"/>
          <w:b/>
          <w:i w:val="0"/>
          <w:sz w:val="24"/>
        </w:rPr>
        <w:t>2.7.2 Inter-Rater Reliability</w:t>
      </w:r>
    </w:p>
    <w:p>
      <w:pPr>
        <w:spacing w:before="0" w:after="120" w:line="360" w:lineRule="auto"/>
        <w:ind w:firstLine="720"/>
        <w:jc w:val="both"/>
      </w:pPr>
      <w:r>
        <w:rPr>
          <w:rFonts w:ascii="Times New Roman" w:hAnsi="Times New Roman" w:cs="Times New Roman"/>
          <w:rFonts w:ascii="Times New Roman" w:hAnsi="Times New Roman"/>
          <w:b w:val="0"/>
          <w:i w:val="0"/>
          <w:sz w:val="24"/>
        </w:rPr>
        <w:t>Inter-rater reliability was assessed for the 20% subsample (n = 40) independently scored by both the primary researcher and the second rater. For DISCERN total scores, the Intraclass Correlation Coefficient (ICC) was calculated using a two-way mixed-effects model, single measures, with absolute agreement (ICC[3,1]; Koo &amp; Li, 2016). ICC values were interpreted according to established guidelines: values less than 0.50 indicate poor reliability, 0.50–0.75 indicate moderate reliability, 0.75–0.90 indicate good reliability, and values greater than 0.90 indicate excellent reliability (Koo &amp; Li, 2016).</w:t>
      </w:r>
    </w:p>
    <w:p>
      <w:pPr>
        <w:spacing w:before="0" w:after="120" w:line="360" w:lineRule="auto"/>
        <w:ind w:firstLine="720"/>
        <w:jc w:val="both"/>
      </w:pPr>
      <w:r>
        <w:rPr>
          <w:rFonts w:ascii="Times New Roman" w:hAnsi="Times New Roman" w:cs="Times New Roman"/>
          <w:rFonts w:ascii="Times New Roman" w:hAnsi="Times New Roman"/>
          <w:b w:val="0"/>
          <w:i w:val="0"/>
          <w:sz w:val="24"/>
        </w:rPr>
        <w:t>For the JAMA benchmark criteria, which are scored dichotomously (present/absent), Cohen’s kappa (κ) was calculated for each criterion. Kappa values were interpreted using the guidelines proposed by Landis and Koch (1977): values below 0.20 indicate slight agreement, 0.21–0.40 indicate fair agreement, 0.41–0.60 indicate moderate agreement, 0.61–0.80 indicate substantial agreement, and values above 0.80 indicate almost perfect agreement.</w:t>
      </w:r>
    </w:p>
    <w:p>
      <w:pPr>
        <w:spacing w:before="160" w:after="120" w:line="360" w:lineRule="auto"/>
        <w:jc w:val="left"/>
      </w:pPr>
      <w:r>
        <w:rPr>
          <w:rFonts w:ascii="Times New Roman" w:hAnsi="Times New Roman" w:cs="Times New Roman"/>
          <w:rFonts w:ascii="Times New Roman" w:hAnsi="Times New Roman"/>
          <w:b/>
          <w:i w:val="0"/>
          <w:sz w:val="24"/>
        </w:rPr>
        <w:t>2.7.3 Inferential Statistics</w:t>
      </w:r>
    </w:p>
    <w:p>
      <w:pPr>
        <w:spacing w:before="0" w:after="120" w:line="360" w:lineRule="auto"/>
        <w:ind w:firstLine="720"/>
        <w:jc w:val="both"/>
      </w:pPr>
      <w:r>
        <w:rPr>
          <w:rFonts w:ascii="Times New Roman" w:hAnsi="Times New Roman" w:cs="Times New Roman"/>
          <w:rFonts w:ascii="Times New Roman" w:hAnsi="Times New Roman"/>
          <w:b w:val="0"/>
          <w:i w:val="0"/>
          <w:sz w:val="24"/>
        </w:rPr>
        <w:t>Non-parametric statistical tests were selected as the primary inferential methods due to the ordinal nature of DISCERN scores and the anticipated non-normal distribution of quality data, consistent with methodological recommendations for health information quality research (Naaman et al., 2022).</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Platform comparisons of DISCERN scores. </w:t>
      </w:r>
      <w:r>
        <w:rPr>
          <w:rFonts w:ascii="Times New Roman" w:hAnsi="Times New Roman" w:cs="Times New Roman"/>
          <w:rFonts w:ascii="Times New Roman" w:hAnsi="Times New Roman"/>
          <w:b w:val="0"/>
          <w:i w:val="0"/>
          <w:sz w:val="24"/>
        </w:rPr>
        <w:t>The Kruskal-Wallis H test was employed to examine whether DISCERN total scores differed significantly across the four platforms (Google, YouTube, TikTok, and Instagram). When a statistically significant omnibus result was obtained, Dunn’s post-hoc test with Bonferroni correction was applied to identify which specific platform pairs differed significantly. The effect size was quantified using epsilon-squared (ε²), where values of 0.01, 0.06, and 0.14 correspond to small, medium, and large effects, respectively (Tomczak &amp; Tomczak, 2014).</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Platform comparisons of JAMA compliance. </w:t>
      </w:r>
      <w:r>
        <w:rPr>
          <w:rFonts w:ascii="Times New Roman" w:hAnsi="Times New Roman" w:cs="Times New Roman"/>
          <w:rFonts w:ascii="Times New Roman" w:hAnsi="Times New Roman"/>
          <w:b w:val="0"/>
          <w:i w:val="0"/>
          <w:sz w:val="24"/>
        </w:rPr>
        <w:t>The chi-square test of independence was used to assess whether the proportion of content meeting each JAMA criterion differed across platforms. Where expected cell frequencies fell below 5, Fisher’s exact test was employed as an alternative. The effect size was reported as Cramér’s V, interpreted according to Cohen’s (1988) guidelines: values of 0.10, 0.30, and 0.50 represent small, medium, and large effects for tables with three degrees of freedom.</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Creator type and quality scores. </w:t>
      </w:r>
      <w:r>
        <w:rPr>
          <w:rFonts w:ascii="Times New Roman" w:hAnsi="Times New Roman" w:cs="Times New Roman"/>
          <w:rFonts w:ascii="Times New Roman" w:hAnsi="Times New Roman"/>
          <w:b w:val="0"/>
          <w:i w:val="0"/>
          <w:sz w:val="24"/>
        </w:rPr>
        <w:t>To investigate whether creator type moderates information quality, DISCERN scores were compared between professional creators (healthcare professionals and certified fitness professionals combined) and non-professional creators (fitness influencers and general users combined) using the Mann-Whitney U test. The effect size was reported as rank-biserial correlation (r</w:t>
      </w:r>
      <w:r>
        <w:rPr>
          <w:rFonts w:ascii="Times New Roman" w:hAnsi="Times New Roman" w:cs="Times New Roman"/>
          <w:rFonts w:ascii="Times New Roman" w:hAnsi="Times New Roman"/>
          <w:b w:val="0"/>
          <w:i/>
          <w:sz w:val="24"/>
        </w:rPr>
        <w:t>rb</w:t>
      </w:r>
      <w:r>
        <w:rPr>
          <w:rFonts w:ascii="Times New Roman" w:hAnsi="Times New Roman" w:cs="Times New Roman"/>
          <w:rFonts w:ascii="Times New Roman" w:hAnsi="Times New Roman"/>
          <w:b w:val="0"/>
          <w:i w:val="0"/>
          <w:sz w:val="24"/>
        </w:rPr>
        <w:t>), where values of 0.10, 0.30, and 0.50 correspond to small, medium, and large effects (Fritz et al., 2012).</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Engagement metrics and information quality. </w:t>
      </w:r>
      <w:r>
        <w:rPr>
          <w:rFonts w:ascii="Times New Roman" w:hAnsi="Times New Roman" w:cs="Times New Roman"/>
          <w:rFonts w:ascii="Times New Roman" w:hAnsi="Times New Roman"/>
          <w:b w:val="0"/>
          <w:i w:val="0"/>
          <w:sz w:val="24"/>
        </w:rPr>
        <w:t>Spearman’s rank correlation coefficient (ρ) was calculated to examine the relationship between engagement metrics (views, likes, shares) and DISCERN total scores. This non-parametric correlation was selected due to the highly skewed distribution typically observed in engagement data and the ordinal nature of DISCERN scores. Correlation strength was interpreted as: ρ &lt; 0.10 negligible, 0.10–0.39 weak, 0.40–0.69 moderate, and ≥ 0.70 strong (Schober et al., 2018).</w:t>
      </w:r>
    </w:p>
    <w:p>
      <w:pPr>
        <w:spacing w:before="0" w:after="120" w:line="360" w:lineRule="auto"/>
        <w:ind w:firstLine="720"/>
        <w:jc w:val="both"/>
      </w:pPr>
      <w:r>
        <w:rPr>
          <w:rFonts w:ascii="Times New Roman" w:hAnsi="Times New Roman" w:cs="Times New Roman"/>
          <w:rFonts w:ascii="Times New Roman" w:hAnsi="Times New Roman"/>
          <w:b w:val="0"/>
          <w:i w:val="0"/>
          <w:sz w:val="24"/>
        </w:rPr>
        <w:t>Table 2.4 provides a summary of the statistical analysis plan, linking each research question to the corresponding variables, statistical tests, and rationale for test selection.</w:t>
      </w:r>
    </w:p>
    <w:p>
      <w:pPr>
        <w:spacing w:before="240" w:after="0" w:line="360" w:lineRule="auto"/>
        <w:jc w:val="left"/>
      </w:pPr>
      <w:r>
        <w:rPr>
          <w:rFonts w:ascii="Times New Roman" w:hAnsi="Times New Roman" w:cs="Times New Roman"/>
          <w:rFonts w:ascii="Times New Roman" w:hAnsi="Times New Roman"/>
          <w:b/>
          <w:i w:val="0"/>
          <w:sz w:val="24"/>
        </w:rPr>
        <w:t>Table 2.4</w:t>
      </w:r>
    </w:p>
    <w:p>
      <w:pPr>
        <w:spacing w:before="0" w:after="120" w:line="360" w:lineRule="auto"/>
        <w:jc w:val="left"/>
      </w:pPr>
      <w:r>
        <w:rPr>
          <w:rFonts w:ascii="Times New Roman" w:hAnsi="Times New Roman" w:cs="Times New Roman"/>
          <w:rFonts w:ascii="Times New Roman" w:hAnsi="Times New Roman"/>
          <w:b w:val="0"/>
          <w:i/>
          <w:sz w:val="24"/>
        </w:rPr>
        <w:t>Summary of Statistical Analysis Plan by Research Question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68"/>
            <w:shd w:fill="D9E2F3"/>
          </w:tcPr>
          <w:p>
            <w:pPr>
              <w:spacing w:before="20" w:after="20" w:line="276" w:lineRule="auto"/>
              <w:jc w:val="center"/>
            </w:pPr>
            <w:r/>
            <w:r>
              <w:rPr>
                <w:rFonts w:ascii="Times New Roman" w:hAnsi="Times New Roman" w:cs="Times New Roman"/>
                <w:rFonts w:ascii="Times New Roman" w:hAnsi="Times New Roman"/>
                <w:b/>
                <w:i w:val="0"/>
                <w:sz w:val="18"/>
              </w:rPr>
              <w:t>Research Question</w:t>
            </w:r>
          </w:p>
        </w:tc>
        <w:tc>
          <w:tcPr>
            <w:tcW w:type="dxa" w:w="1984"/>
            <w:shd w:fill="D9E2F3"/>
          </w:tcPr>
          <w:p>
            <w:pPr>
              <w:spacing w:before="20" w:after="20" w:line="276" w:lineRule="auto"/>
              <w:jc w:val="center"/>
            </w:pPr>
            <w:r/>
            <w:r>
              <w:rPr>
                <w:rFonts w:ascii="Times New Roman" w:hAnsi="Times New Roman" w:cs="Times New Roman"/>
                <w:rFonts w:ascii="Times New Roman" w:hAnsi="Times New Roman"/>
                <w:b/>
                <w:i w:val="0"/>
                <w:sz w:val="18"/>
              </w:rPr>
              <w:t>Variables</w:t>
            </w:r>
          </w:p>
        </w:tc>
        <w:tc>
          <w:tcPr>
            <w:tcW w:type="dxa" w:w="2551"/>
            <w:shd w:fill="D9E2F3"/>
          </w:tcPr>
          <w:p>
            <w:pPr>
              <w:spacing w:before="20" w:after="20" w:line="276" w:lineRule="auto"/>
              <w:jc w:val="center"/>
            </w:pPr>
            <w:r/>
            <w:r>
              <w:rPr>
                <w:rFonts w:ascii="Times New Roman" w:hAnsi="Times New Roman" w:cs="Times New Roman"/>
                <w:rFonts w:ascii="Times New Roman" w:hAnsi="Times New Roman"/>
                <w:b/>
                <w:i w:val="0"/>
                <w:sz w:val="18"/>
              </w:rPr>
              <w:t>Statistical Test</w:t>
            </w:r>
          </w:p>
        </w:tc>
        <w:tc>
          <w:tcPr>
            <w:tcW w:type="dxa" w:w="2268"/>
            <w:shd w:fill="D9E2F3"/>
          </w:tcPr>
          <w:p>
            <w:pPr>
              <w:spacing w:before="20" w:after="20" w:line="276" w:lineRule="auto"/>
              <w:jc w:val="center"/>
            </w:pPr>
            <w:r/>
            <w:r>
              <w:rPr>
                <w:rFonts w:ascii="Times New Roman" w:hAnsi="Times New Roman" w:cs="Times New Roman"/>
                <w:rFonts w:ascii="Times New Roman" w:hAnsi="Times New Roman"/>
                <w:b/>
                <w:i w:val="0"/>
                <w:sz w:val="18"/>
              </w:rPr>
              <w:t>Rationale</w:t>
            </w:r>
          </w:p>
        </w:tc>
      </w:tr>
      <w:tr>
        <w:tc>
          <w:tcPr>
            <w:tcW w:type="dxa" w:w="2268"/>
          </w:tcPr>
          <w:p>
            <w:pPr>
              <w:spacing w:before="20" w:after="20" w:line="276" w:lineRule="auto"/>
              <w:jc w:val="left"/>
            </w:pPr>
            <w:r/>
            <w:r>
              <w:rPr>
                <w:rFonts w:ascii="Times New Roman" w:hAnsi="Times New Roman" w:cs="Times New Roman"/>
                <w:rFonts w:ascii="Times New Roman" w:hAnsi="Times New Roman"/>
                <w:b w:val="0"/>
                <w:i w:val="0"/>
                <w:sz w:val="18"/>
              </w:rPr>
              <w:t>RQ1: How does PA information quality differ between traditional websites and social media?</w:t>
            </w:r>
          </w:p>
        </w:tc>
        <w:tc>
          <w:tcPr>
            <w:tcW w:type="dxa" w:w="1984"/>
          </w:tcPr>
          <w:p>
            <w:pPr>
              <w:spacing w:before="20" w:after="20" w:line="276" w:lineRule="auto"/>
              <w:jc w:val="left"/>
            </w:pPr>
            <w:r/>
            <w:r>
              <w:rPr>
                <w:rFonts w:ascii="Times New Roman" w:hAnsi="Times New Roman" w:cs="Times New Roman"/>
                <w:rFonts w:ascii="Times New Roman" w:hAnsi="Times New Roman"/>
                <w:b w:val="0"/>
                <w:i w:val="0"/>
                <w:sz w:val="18"/>
              </w:rPr>
              <w:t>IV: Platform (4 levels)</w:t>
              <w:br/>
              <w:t>DV: DISCERN total score; JAMA criteria compliance</w:t>
            </w:r>
          </w:p>
        </w:tc>
        <w:tc>
          <w:tcPr>
            <w:tcW w:type="dxa" w:w="2551"/>
          </w:tcPr>
          <w:p>
            <w:pPr>
              <w:spacing w:before="20" w:after="20" w:line="276" w:lineRule="auto"/>
              <w:jc w:val="left"/>
            </w:pPr>
            <w:r/>
            <w:r>
              <w:rPr>
                <w:rFonts w:ascii="Times New Roman" w:hAnsi="Times New Roman" w:cs="Times New Roman"/>
                <w:rFonts w:ascii="Times New Roman" w:hAnsi="Times New Roman"/>
                <w:b w:val="0"/>
                <w:i w:val="0"/>
                <w:sz w:val="18"/>
              </w:rPr>
              <w:t>Kruskal-Wallis H test (DISCERN)</w:t>
              <w:br/>
              <w:t>Dunn’s post-hoc with Bonferroni</w:t>
              <w:br/>
              <w:t>χ² / Fisher’s exact test (JAMA)</w:t>
              <w:br/>
              <w:t>Effect sizes: ε², Cramér’s V</w:t>
            </w:r>
          </w:p>
        </w:tc>
        <w:tc>
          <w:tcPr>
            <w:tcW w:type="dxa" w:w="2268"/>
          </w:tcPr>
          <w:p>
            <w:pPr>
              <w:spacing w:before="20" w:after="20" w:line="276" w:lineRule="auto"/>
              <w:jc w:val="left"/>
            </w:pPr>
            <w:r/>
            <w:r>
              <w:rPr>
                <w:rFonts w:ascii="Times New Roman" w:hAnsi="Times New Roman" w:cs="Times New Roman"/>
                <w:rFonts w:ascii="Times New Roman" w:hAnsi="Times New Roman"/>
                <w:b w:val="0"/>
                <w:i w:val="0"/>
                <w:sz w:val="18"/>
              </w:rPr>
              <w:t>Non-parametric; ordinal DISCERN data likely non-normally distributed. Chi-square appropriate for categorical JAMA data.</w:t>
            </w:r>
          </w:p>
        </w:tc>
      </w:tr>
      <w:tr>
        <w:tc>
          <w:tcPr>
            <w:tcW w:type="dxa" w:w="2268"/>
          </w:tcPr>
          <w:p>
            <w:pPr>
              <w:spacing w:before="20" w:after="20" w:line="276" w:lineRule="auto"/>
              <w:jc w:val="left"/>
            </w:pPr>
            <w:r/>
            <w:r>
              <w:rPr>
                <w:rFonts w:ascii="Times New Roman" w:hAnsi="Times New Roman" w:cs="Times New Roman"/>
                <w:rFonts w:ascii="Times New Roman" w:hAnsi="Times New Roman"/>
                <w:b w:val="0"/>
                <w:i w:val="0"/>
                <w:sz w:val="18"/>
              </w:rPr>
              <w:t>RQ2: Does creator type moderate quality scores?</w:t>
            </w:r>
          </w:p>
        </w:tc>
        <w:tc>
          <w:tcPr>
            <w:tcW w:type="dxa" w:w="1984"/>
          </w:tcPr>
          <w:p>
            <w:pPr>
              <w:spacing w:before="20" w:after="20" w:line="276" w:lineRule="auto"/>
              <w:jc w:val="left"/>
            </w:pPr>
            <w:r/>
            <w:r>
              <w:rPr>
                <w:rFonts w:ascii="Times New Roman" w:hAnsi="Times New Roman" w:cs="Times New Roman"/>
                <w:rFonts w:ascii="Times New Roman" w:hAnsi="Times New Roman"/>
                <w:b w:val="0"/>
                <w:i w:val="0"/>
                <w:sz w:val="18"/>
              </w:rPr>
              <w:t>IV: Creator type (professional vs. non-professional)</w:t>
              <w:br/>
              <w:t>DV: DISCERN total score</w:t>
            </w:r>
          </w:p>
        </w:tc>
        <w:tc>
          <w:tcPr>
            <w:tcW w:type="dxa" w:w="2551"/>
          </w:tcPr>
          <w:p>
            <w:pPr>
              <w:spacing w:before="20" w:after="20" w:line="276" w:lineRule="auto"/>
              <w:jc w:val="left"/>
            </w:pPr>
            <w:r/>
            <w:r>
              <w:rPr>
                <w:rFonts w:ascii="Times New Roman" w:hAnsi="Times New Roman" w:cs="Times New Roman"/>
                <w:rFonts w:ascii="Times New Roman" w:hAnsi="Times New Roman"/>
                <w:b w:val="0"/>
                <w:i w:val="0"/>
                <w:sz w:val="18"/>
              </w:rPr>
              <w:t>Mann-Whitney U test</w:t>
              <w:br/>
              <w:t>Effect size: rank-biserial correlation</w:t>
            </w:r>
          </w:p>
        </w:tc>
        <w:tc>
          <w:tcPr>
            <w:tcW w:type="dxa" w:w="2268"/>
          </w:tcPr>
          <w:p>
            <w:pPr>
              <w:spacing w:before="20" w:after="20" w:line="276" w:lineRule="auto"/>
              <w:jc w:val="left"/>
            </w:pPr>
            <w:r/>
            <w:r>
              <w:rPr>
                <w:rFonts w:ascii="Times New Roman" w:hAnsi="Times New Roman" w:cs="Times New Roman"/>
                <w:rFonts w:ascii="Times New Roman" w:hAnsi="Times New Roman"/>
                <w:b w:val="0"/>
                <w:i w:val="0"/>
                <w:sz w:val="18"/>
              </w:rPr>
              <w:t>Non-parametric comparison of two independent groups with ordinal outcome variable.</w:t>
            </w:r>
          </w:p>
        </w:tc>
      </w:tr>
      <w:tr>
        <w:tc>
          <w:tcPr>
            <w:tcW w:type="dxa" w:w="2268"/>
          </w:tcPr>
          <w:p>
            <w:pPr>
              <w:spacing w:before="20" w:after="20" w:line="276" w:lineRule="auto"/>
              <w:jc w:val="left"/>
            </w:pPr>
            <w:r/>
            <w:r>
              <w:rPr>
                <w:rFonts w:ascii="Times New Roman" w:hAnsi="Times New Roman" w:cs="Times New Roman"/>
                <w:rFonts w:ascii="Times New Roman" w:hAnsi="Times New Roman"/>
                <w:b w:val="0"/>
                <w:i w:val="0"/>
                <w:sz w:val="18"/>
              </w:rPr>
              <w:t>RQ3: What is the relationship between engagement metrics and quality?</w:t>
            </w:r>
          </w:p>
        </w:tc>
        <w:tc>
          <w:tcPr>
            <w:tcW w:type="dxa" w:w="1984"/>
          </w:tcPr>
          <w:p>
            <w:pPr>
              <w:spacing w:before="20" w:after="20" w:line="276" w:lineRule="auto"/>
              <w:jc w:val="left"/>
            </w:pPr>
            <w:r/>
            <w:r>
              <w:rPr>
                <w:rFonts w:ascii="Times New Roman" w:hAnsi="Times New Roman" w:cs="Times New Roman"/>
                <w:rFonts w:ascii="Times New Roman" w:hAnsi="Times New Roman"/>
                <w:b w:val="0"/>
                <w:i w:val="0"/>
                <w:sz w:val="18"/>
              </w:rPr>
              <w:t>Predictor: Views, likes, shares</w:t>
              <w:br/>
              <w:t>Outcome: DISCERN total score</w:t>
            </w:r>
          </w:p>
        </w:tc>
        <w:tc>
          <w:tcPr>
            <w:tcW w:type="dxa" w:w="2551"/>
          </w:tcPr>
          <w:p>
            <w:pPr>
              <w:spacing w:before="20" w:after="20" w:line="276" w:lineRule="auto"/>
              <w:jc w:val="left"/>
            </w:pPr>
            <w:r/>
            <w:r>
              <w:rPr>
                <w:rFonts w:ascii="Times New Roman" w:hAnsi="Times New Roman" w:cs="Times New Roman"/>
                <w:rFonts w:ascii="Times New Roman" w:hAnsi="Times New Roman"/>
                <w:b w:val="0"/>
                <w:i w:val="0"/>
                <w:sz w:val="18"/>
              </w:rPr>
              <w:t>Spearman’s rank correlation (ρ)</w:t>
            </w:r>
          </w:p>
        </w:tc>
        <w:tc>
          <w:tcPr>
            <w:tcW w:type="dxa" w:w="2268"/>
          </w:tcPr>
          <w:p>
            <w:pPr>
              <w:spacing w:before="20" w:after="20" w:line="276" w:lineRule="auto"/>
              <w:jc w:val="left"/>
            </w:pPr>
            <w:r/>
            <w:r>
              <w:rPr>
                <w:rFonts w:ascii="Times New Roman" w:hAnsi="Times New Roman" w:cs="Times New Roman"/>
                <w:rFonts w:ascii="Times New Roman" w:hAnsi="Times New Roman"/>
                <w:b w:val="0"/>
                <w:i w:val="0"/>
                <w:sz w:val="18"/>
              </w:rPr>
              <w:t>Non-parametric correlation appropriate for skewed engagement data and ordinal quality scores.</w:t>
            </w:r>
          </w:p>
        </w:tc>
      </w:tr>
      <w:tr>
        <w:tc>
          <w:tcPr>
            <w:tcW w:type="dxa" w:w="2268"/>
          </w:tcPr>
          <w:p>
            <w:pPr>
              <w:spacing w:before="20" w:after="20" w:line="276" w:lineRule="auto"/>
              <w:jc w:val="left"/>
            </w:pPr>
            <w:r/>
            <w:r>
              <w:rPr>
                <w:rFonts w:ascii="Times New Roman" w:hAnsi="Times New Roman" w:cs="Times New Roman"/>
                <w:rFonts w:ascii="Times New Roman" w:hAnsi="Times New Roman"/>
                <w:b w:val="0"/>
                <w:i w:val="0"/>
                <w:sz w:val="18"/>
              </w:rPr>
              <w:t>Inter-rater reliability</w:t>
            </w:r>
          </w:p>
        </w:tc>
        <w:tc>
          <w:tcPr>
            <w:tcW w:type="dxa" w:w="1984"/>
          </w:tcPr>
          <w:p>
            <w:pPr>
              <w:spacing w:before="20" w:after="20" w:line="276" w:lineRule="auto"/>
              <w:jc w:val="left"/>
            </w:pPr>
            <w:r/>
            <w:r>
              <w:rPr>
                <w:rFonts w:ascii="Times New Roman" w:hAnsi="Times New Roman" w:cs="Times New Roman"/>
                <w:rFonts w:ascii="Times New Roman" w:hAnsi="Times New Roman"/>
                <w:b w:val="0"/>
                <w:i w:val="0"/>
                <w:sz w:val="18"/>
              </w:rPr>
              <w:t>Rater 1 vs. Rater 2 scores</w:t>
              <w:br/>
              <w:t>(20% subsample, n = 40)</w:t>
            </w:r>
          </w:p>
        </w:tc>
        <w:tc>
          <w:tcPr>
            <w:tcW w:type="dxa" w:w="2551"/>
          </w:tcPr>
          <w:p>
            <w:pPr>
              <w:spacing w:before="20" w:after="20" w:line="276" w:lineRule="auto"/>
              <w:jc w:val="left"/>
            </w:pPr>
            <w:r/>
            <w:r>
              <w:rPr>
                <w:rFonts w:ascii="Times New Roman" w:hAnsi="Times New Roman" w:cs="Times New Roman"/>
                <w:rFonts w:ascii="Times New Roman" w:hAnsi="Times New Roman"/>
                <w:b w:val="0"/>
                <w:i w:val="0"/>
                <w:sz w:val="18"/>
              </w:rPr>
              <w:t>ICC (two-way mixed, single measures, absolute agreement) for DISCERN</w:t>
              <w:br/>
              <w:t>Cohen’s κ for each JAMA criterion</w:t>
            </w:r>
          </w:p>
        </w:tc>
        <w:tc>
          <w:tcPr>
            <w:tcW w:type="dxa" w:w="2268"/>
          </w:tcPr>
          <w:p>
            <w:pPr>
              <w:spacing w:before="20" w:after="20" w:line="276" w:lineRule="auto"/>
              <w:jc w:val="left"/>
            </w:pPr>
            <w:r/>
            <w:r>
              <w:rPr>
                <w:rFonts w:ascii="Times New Roman" w:hAnsi="Times New Roman" w:cs="Times New Roman"/>
                <w:rFonts w:ascii="Times New Roman" w:hAnsi="Times New Roman"/>
                <w:b w:val="0"/>
                <w:i w:val="0"/>
                <w:sz w:val="18"/>
              </w:rPr>
              <w:t>ICC suitable for continuous/ordinal data; κ appropriate for dichotomous categorical data.</w:t>
            </w:r>
          </w:p>
        </w:tc>
      </w:tr>
    </w:tbl>
    <w:p>
      <w:pPr>
        <w:spacing w:before="60" w:after="240" w:line="240" w:lineRule="auto"/>
      </w:pPr>
      <w:r>
        <w:rPr>
          <w:rFonts w:ascii="Times New Roman" w:hAnsi="Times New Roman" w:cs="Times New Roman"/>
          <w:rFonts w:ascii="Times New Roman" w:hAnsi="Times New Roman"/>
          <w:b w:val="0"/>
          <w:i/>
          <w:sz w:val="20"/>
        </w:rPr>
        <w:t xml:space="preserve">Note. </w:t>
      </w:r>
      <w:r>
        <w:rPr>
          <w:rFonts w:ascii="Times New Roman" w:hAnsi="Times New Roman" w:cs="Times New Roman"/>
          <w:rFonts w:ascii="Times New Roman" w:hAnsi="Times New Roman"/>
          <w:b w:val="0"/>
          <w:i w:val="0"/>
          <w:sz w:val="20"/>
        </w:rPr>
        <w:t>IV = independent variable; DV = dependent variable; PA = physical activity; ICC = Intraclass Correlation Coefficient; ε² = epsilon-squared; χ² = chi-square; κ = kappa; ρ = Spearman’s rho. Significance level: α = 0.05 for all tests.</w:t>
      </w:r>
    </w:p>
    <w:p>
      <w:pPr>
        <w:spacing w:before="120" w:after="120" w:line="360" w:lineRule="auto"/>
        <w:ind w:firstLine="720"/>
        <w:jc w:val="both"/>
      </w:pPr>
      <w:r>
        <w:rPr>
          <w:rFonts w:ascii="Times New Roman" w:hAnsi="Times New Roman" w:cs="Times New Roman"/>
          <w:rFonts w:ascii="Times New Roman" w:hAnsi="Times New Roman"/>
          <w:b w:val="0"/>
          <w:i w:val="0"/>
          <w:sz w:val="24"/>
        </w:rPr>
        <w:t>In summary, the methodological approach described in this chapter was designed to provide a rigorous, transparent, and replicable framework for evaluating the quality of physical activity information across four major digital platforms. The combination of the DISCERN instrument and JAMA benchmarks offers a comprehensive assessment of both substantive information quality and accountability standards. The use of non-parametric statistical methods is appropriate given the ordinal nature of the primary outcome measures, and the inclusion of inter-rater reliability assessment ensures the credibility of the quality ratings. The results of the analyses described herein are presented in Chapter 3.</w:t>
      </w:r>
    </w:p>
    <w:p>
      <w:pPr>
        <w:spacing w:before="0" w:after="240" w:line="360" w:lineRule="auto"/>
        <w:jc w:val="center"/>
      </w:pPr>
      <w:r>
        <w:rPr>
          <w:rFonts w:ascii="Times New Roman" w:hAnsi="Times New Roman" w:cs="Times New Roman"/>
          <w:rFonts w:ascii="Times New Roman" w:hAnsi="Times New Roman"/>
          <w:b/>
          <w:i w:val="0"/>
          <w:sz w:val="28"/>
        </w:rPr>
        <w:t>3. RESEARCH FINDINGS</w:t>
      </w:r>
    </w:p>
    <w:p>
      <w:pPr>
        <w:spacing w:before="0" w:after="120" w:line="360" w:lineRule="auto"/>
        <w:ind w:firstLine="709"/>
        <w:jc w:val="both"/>
      </w:pPr>
      <w:r>
        <w:rPr>
          <w:rFonts w:ascii="Times New Roman" w:hAnsi="Times New Roman" w:cs="Times New Roman"/>
          <w:rFonts w:ascii="Times New Roman" w:hAnsi="Times New Roman"/>
          <w:b w:val="0"/>
          <w:i w:val="0"/>
          <w:sz w:val="24"/>
        </w:rPr>
        <w:t>This chapter presents the results of the cross-sectional content analysis of 200 physical activity information sources sampled across four platforms: traditional websites (via Google search), YouTube, TikTok, and Instagram. Results are organized by research question, beginning with descriptive characteristics of the sample, followed by inter-rater reliability, DISCERN and JAMA benchmark scores across platforms, creator type analysis, engagement-quality relationships, and content format patterns.</w:t>
      </w:r>
    </w:p>
    <w:p>
      <w:pPr>
        <w:spacing w:before="240" w:after="120" w:line="360" w:lineRule="auto"/>
        <w:jc w:val="left"/>
      </w:pPr>
      <w:r>
        <w:rPr>
          <w:rFonts w:ascii="Times New Roman" w:hAnsi="Times New Roman" w:cs="Times New Roman"/>
          <w:rFonts w:ascii="Times New Roman" w:hAnsi="Times New Roman"/>
          <w:b/>
          <w:i w:val="0"/>
          <w:sz w:val="24"/>
        </w:rPr>
        <w:t>3.1 Sample Characteristics</w:t>
      </w:r>
    </w:p>
    <w:p>
      <w:pPr>
        <w:spacing w:before="0" w:after="120" w:line="360" w:lineRule="auto"/>
        <w:ind w:firstLine="709"/>
        <w:jc w:val="both"/>
      </w:pPr>
      <w:r>
        <w:rPr>
          <w:rFonts w:ascii="Times New Roman" w:hAnsi="Times New Roman" w:cs="Times New Roman"/>
          <w:rFonts w:ascii="Times New Roman" w:hAnsi="Times New Roman"/>
          <w:b w:val="0"/>
          <w:i w:val="0"/>
          <w:sz w:val="24"/>
        </w:rPr>
        <w:t>A total of 200 items were sampled, with 50 items from each of the four platforms (traditional websites, YouTube, TikTok, and Instagram), derived from the top 10 results for each of the five search terms. All items met the inclusion criteria of being publicly accessible, English-language, substantive physical activity content posted or updated within the preceding three years.</w:t>
      </w:r>
    </w:p>
    <w:p>
      <w:pPr>
        <w:spacing w:before="0" w:after="120" w:line="360" w:lineRule="auto"/>
        <w:ind w:firstLine="709"/>
        <w:jc w:val="both"/>
      </w:pPr>
      <w:r>
        <w:rPr>
          <w:rFonts w:ascii="Times New Roman" w:hAnsi="Times New Roman" w:cs="Times New Roman"/>
          <w:rFonts w:ascii="Times New Roman" w:hAnsi="Times New Roman"/>
          <w:b w:val="0"/>
          <w:i w:val="0"/>
          <w:sz w:val="24"/>
        </w:rPr>
        <w:t>Creator type distribution varied substantially across platforms. Traditional websites were predominantly produced by organizations (39 of 50, 78.0%), reflecting the dominance of institutional health information providers in Google search results. YouTube content was most frequently created by fitness influencers (19 of 50, 38.0%), followed by certified fitness professionals (14 of 50, 28.0%). TikTok similarly featured fitness influencers as the largest creator category (21 of 50, 42.0%). Instagram content was predominantly from organizations (29 of 50, 58.0%). Healthcare professionals constituted a small proportion across all platforms (total n = 14, 7.0%).</w:t>
      </w:r>
    </w:p>
    <w:p>
      <w:pPr>
        <w:spacing w:before="0" w:after="120" w:line="360" w:lineRule="auto"/>
        <w:ind w:firstLine="709"/>
        <w:jc w:val="both"/>
      </w:pPr>
      <w:r>
        <w:rPr>
          <w:rFonts w:ascii="Times New Roman" w:hAnsi="Times New Roman" w:cs="Times New Roman"/>
          <w:rFonts w:ascii="Times New Roman" w:hAnsi="Times New Roman"/>
          <w:b w:val="0"/>
          <w:i w:val="0"/>
          <w:sz w:val="24"/>
        </w:rPr>
        <w:t>Content format was largely determined by platform affordances. Website content consisted entirely of text articles. YouTube was dominated by long-form video exceeding five minutes (45 of 50, 90.0%). TikTok featured predominantly short-form video under 60 seconds (18 of 50, 36.0% of captured format data). All 50 Instagram items were carousel posts (image and caption combinations). Table 1 summarizes the sample distribution by platform, creator type, and content format.</w:t>
      </w:r>
    </w:p>
    <w:p>
      <w:pPr>
        <w:spacing w:before="240" w:after="0" w:line="360" w:lineRule="auto"/>
        <w:jc w:val="left"/>
      </w:pPr>
      <w:r>
        <w:rPr>
          <w:rFonts w:ascii="Times New Roman" w:hAnsi="Times New Roman" w:cs="Times New Roman"/>
          <w:rFonts w:ascii="Times New Roman" w:hAnsi="Times New Roman"/>
          <w:b/>
          <w:i w:val="0"/>
          <w:sz w:val="24"/>
        </w:rPr>
        <w:t>Table 1</w:t>
      </w:r>
    </w:p>
    <w:p>
      <w:pPr>
        <w:spacing w:before="0" w:after="120" w:line="360" w:lineRule="auto"/>
        <w:jc w:val="left"/>
      </w:pPr>
      <w:r>
        <w:rPr>
          <w:rFonts w:ascii="Times New Roman" w:hAnsi="Times New Roman" w:cs="Times New Roman"/>
          <w:rFonts w:ascii="Times New Roman" w:hAnsi="Times New Roman"/>
          <w:b w:val="0"/>
          <w:i/>
          <w:sz w:val="24"/>
        </w:rPr>
        <w:t>Sample Characteristics by Platform (N = 200)</w:t>
      </w:r>
    </w:p>
    <w:tbl>
      <w:tblPr>
        <w:tblW w:type="auto" w:w="0"/>
        <w:jc w:val="center"/>
        <w:tblLayout w:type="autofit"/>
        <w:tblLook w:firstColumn="1" w:firstRow="1" w:lastColumn="0" w:lastRow="0" w:noHBand="0" w:noVBand="1" w:val="04A0"/>
        <w:tblBorders>
          <w:top w:val="single" w:sz="8" w:space="0" w:color="000000"/>
          <w:bottom w:val="single" w:sz="8" w:space="0" w:color="000000"/>
          <w:insideH w:val="none" w:sz="0" w:space="0" w:color="000000"/>
          <w:insideV w:val="none" w:sz="0" w:space="0" w:color="000000"/>
          <w:left w:val="none" w:sz="0" w:space="0" w:color="000000"/>
          <w:right w:val="none" w:sz="0" w:space="0" w:color="000000"/>
        </w:tblBorders>
      </w:tblPr>
      <w:tblGrid>
        <w:gridCol w:w="1504"/>
        <w:gridCol w:w="1504"/>
        <w:gridCol w:w="1504"/>
        <w:gridCol w:w="1504"/>
        <w:gridCol w:w="1504"/>
        <w:gridCol w:w="1504"/>
      </w:tblGrid>
      <w:tr>
        <w:tc>
          <w:tcPr>
            <w:tcW w:type="dxa" w:w="2592"/>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Characteristic</w:t>
            </w:r>
          </w:p>
        </w:tc>
        <w:tc>
          <w:tcPr>
            <w:tcW w:type="dxa" w:w="1440"/>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Website</w:t>
              <w:br/>
              <w:t>(n = 50)</w:t>
            </w:r>
          </w:p>
        </w:tc>
        <w:tc>
          <w:tcPr>
            <w:tcW w:type="dxa" w:w="1440"/>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YouTube</w:t>
              <w:br/>
              <w:t>(n = 50)</w:t>
            </w:r>
          </w:p>
        </w:tc>
        <w:tc>
          <w:tcPr>
            <w:tcW w:type="dxa" w:w="1440"/>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TikTok</w:t>
              <w:br/>
              <w:t>(n = 50)</w:t>
            </w:r>
          </w:p>
        </w:tc>
        <w:tc>
          <w:tcPr>
            <w:tcW w:type="dxa" w:w="1440"/>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Instagram</w:t>
              <w:br/>
              <w:t>(n = 50)</w:t>
            </w:r>
          </w:p>
        </w:tc>
        <w:tc>
          <w:tcPr>
            <w:tcW w:type="dxa" w:w="1440"/>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Total</w:t>
              <w:br/>
              <w:t>(N = 200)</w:t>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Creator type</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 xml:space="preserve">  Organization</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39 (78.0)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5 (10.0)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12 (24.0)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29 (58.0)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85 (42.5)</w:t>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 xml:space="preserve">  Certified fitness prof.</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5 (10.0)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14 (28.0)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8 (16.0)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7 (14.0)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34 (17.0)</w:t>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 xml:space="preserve">  Healthcare professional</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4 (8.0)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5 (10.0)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3 (6.0)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2 (4.0)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14 (7.0)</w:t>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 xml:space="preserve">  Fitness influencer</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1 (2.0)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19 (38.0)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21 (42.0)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2 (4.0)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43 (21.5)</w:t>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 xml:space="preserve">  General user</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1 (2.0)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7 (14.0)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6 (12.0)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10 (20.0)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24 (12.0)</w:t>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Content format</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 xml:space="preserve">  Text article</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50 (100)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50 (25.0)</w:t>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 xml:space="preserve">  Long video (&gt;5 min)</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45 (90.0)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45 (22.5)</w:t>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 xml:space="preserve">  Short video (&lt;60 s)</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5 (10.0)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18 (36.0)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23 (11.5)</w:t>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 xml:space="preserve">  Carousel</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50 (100)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50 (25.0)</w:t>
            </w:r>
          </w:p>
        </w:tc>
      </w:tr>
    </w:tbl>
    <w:p>
      <w:pPr>
        <w:spacing w:before="0" w:after="240" w:line="360" w:lineRule="auto"/>
        <w:jc w:val="left"/>
      </w:pPr>
      <w:r>
        <w:rPr>
          <w:rFonts w:ascii="Times New Roman" w:hAnsi="Times New Roman" w:cs="Times New Roman"/>
          <w:rFonts w:ascii="Times New Roman" w:hAnsi="Times New Roman"/>
          <w:b w:val="0"/>
          <w:i/>
          <w:sz w:val="20"/>
        </w:rPr>
        <w:t xml:space="preserve">Note. </w:t>
      </w:r>
      <w:r>
        <w:rPr>
          <w:rFonts w:ascii="Times New Roman" w:hAnsi="Times New Roman" w:cs="Times New Roman"/>
          <w:rFonts w:ascii="Times New Roman" w:hAnsi="Times New Roman"/>
          <w:b w:val="0"/>
          <w:i w:val="0"/>
          <w:sz w:val="20"/>
        </w:rPr>
        <w:t>Values are n (%). Dashes indicate format not applicable to platform. TikTok format data were captured for a subset of items.</w:t>
      </w:r>
    </w:p>
    <w:p>
      <w:pPr>
        <w:spacing w:before="240" w:after="120" w:line="360" w:lineRule="auto"/>
        <w:jc w:val="left"/>
      </w:pPr>
      <w:r>
        <w:rPr>
          <w:rFonts w:ascii="Times New Roman" w:hAnsi="Times New Roman" w:cs="Times New Roman"/>
          <w:rFonts w:ascii="Times New Roman" w:hAnsi="Times New Roman"/>
          <w:b/>
          <w:i w:val="0"/>
          <w:sz w:val="24"/>
        </w:rPr>
        <w:t>3.2 Inter-Rater Reliability</w:t>
      </w:r>
    </w:p>
    <w:p>
      <w:pPr>
        <w:spacing w:before="0" w:after="120" w:line="360" w:lineRule="auto"/>
        <w:ind w:firstLine="709"/>
        <w:jc w:val="both"/>
      </w:pPr>
      <w:r>
        <w:rPr>
          <w:rFonts w:ascii="Times New Roman" w:hAnsi="Times New Roman" w:cs="Times New Roman"/>
          <w:rFonts w:ascii="Times New Roman" w:hAnsi="Times New Roman"/>
          <w:b w:val="0"/>
          <w:i w:val="0"/>
          <w:sz w:val="24"/>
        </w:rPr>
        <w:t>A randomly selected 20% subsample (n = 40, 10 per platform) was independently scored by a second rater to assess inter-rater reliability. For the DISCERN instrument, the intraclass correlation coefficient (ICC) for total scores was 0.994 (95% CI: 0.990–1.000), indicating excellent agreement between raters. For the JAMA benchmark criteria, Cohen’s kappa was 1.000 for all four criteria (authorship, attribution, disclosure, and currency), reflecting perfect inter-rater agreement. These values exceeded the pre-established thresholds of ICC ≥ 0.75 and κ ≥ 0.61, confirming the reliability of the scoring procedures.</w:t>
      </w:r>
    </w:p>
    <w:p>
      <w:pPr>
        <w:spacing w:before="240" w:after="120" w:line="360" w:lineRule="auto"/>
        <w:jc w:val="left"/>
      </w:pPr>
      <w:r>
        <w:rPr>
          <w:rFonts w:ascii="Times New Roman" w:hAnsi="Times New Roman" w:cs="Times New Roman"/>
          <w:rFonts w:ascii="Times New Roman" w:hAnsi="Times New Roman"/>
          <w:b/>
          <w:i w:val="0"/>
          <w:sz w:val="24"/>
        </w:rPr>
        <w:t>3.3 DISCERN Scores by Platform</w:t>
      </w:r>
    </w:p>
    <w:p>
      <w:pPr>
        <w:spacing w:before="0" w:after="120" w:line="360" w:lineRule="auto"/>
        <w:ind w:firstLine="709"/>
        <w:jc w:val="both"/>
      </w:pPr>
      <w:r>
        <w:rPr>
          <w:rFonts w:ascii="Times New Roman" w:hAnsi="Times New Roman" w:cs="Times New Roman"/>
          <w:rFonts w:ascii="Times New Roman" w:hAnsi="Times New Roman"/>
          <w:b w:val="0"/>
          <w:i w:val="0"/>
          <w:sz w:val="24"/>
        </w:rPr>
        <w:t>Research Question 1 asked how physical activity information quality differs between traditional websites and social media platforms as measured by DISCERN and JAMA benchmarks. This section reports DISCERN findings; JAMA results follow in Section 3.4.</w:t>
      </w:r>
    </w:p>
    <w:p>
      <w:pPr>
        <w:spacing w:before="0" w:after="120" w:line="360" w:lineRule="auto"/>
        <w:ind w:firstLine="709"/>
        <w:jc w:val="both"/>
      </w:pPr>
      <w:r>
        <w:rPr>
          <w:rFonts w:ascii="Times New Roman" w:hAnsi="Times New Roman" w:cs="Times New Roman"/>
          <w:rFonts w:ascii="Times New Roman" w:hAnsi="Times New Roman"/>
          <w:b w:val="0"/>
          <w:i w:val="0"/>
          <w:sz w:val="24"/>
        </w:rPr>
        <w:t>Across all 200 items, the overall mean DISCERN total score was 36.30 (SD = 11.42), with a median of 35.50 (range 16–65). This places the aggregate sample at the boundary between the “poor” and “fair” quality categories according to established DISCERN interpretation thresholds.</w:t>
      </w:r>
    </w:p>
    <w:p>
      <w:pPr>
        <w:spacing w:before="0" w:after="120" w:line="360" w:lineRule="auto"/>
        <w:ind w:firstLine="709"/>
        <w:jc w:val="both"/>
      </w:pPr>
      <w:r>
        <w:rPr>
          <w:rFonts w:ascii="Times New Roman" w:hAnsi="Times New Roman" w:cs="Times New Roman"/>
          <w:rFonts w:ascii="Times New Roman" w:hAnsi="Times New Roman"/>
          <w:b w:val="0"/>
          <w:i w:val="0"/>
          <w:sz w:val="24"/>
        </w:rPr>
        <w:t>Substantial variation was observed across platforms. Traditional websites achieved the highest median DISCERN score (Mdn = 48.00, IQR = 42.25–55.00), followed by YouTube (Mdn = 39.00, IQR = 36.00–42.75), TikTok (Mdn = 31.00, IQR = 29.00–37.00), and Instagram (Mdn = 21.00, IQR = 18.25–29.75). Table 2 presents the full descriptive statistics.</w:t>
      </w:r>
    </w:p>
    <w:p>
      <w:pPr>
        <w:spacing w:before="240" w:after="0" w:line="360" w:lineRule="auto"/>
        <w:jc w:val="left"/>
      </w:pPr>
      <w:r>
        <w:rPr>
          <w:rFonts w:ascii="Times New Roman" w:hAnsi="Times New Roman" w:cs="Times New Roman"/>
          <w:rFonts w:ascii="Times New Roman" w:hAnsi="Times New Roman"/>
          <w:b/>
          <w:i w:val="0"/>
          <w:sz w:val="24"/>
        </w:rPr>
        <w:t>Table 2</w:t>
      </w:r>
    </w:p>
    <w:p>
      <w:pPr>
        <w:spacing w:before="0" w:after="120" w:line="360" w:lineRule="auto"/>
        <w:jc w:val="left"/>
      </w:pPr>
      <w:r>
        <w:rPr>
          <w:rFonts w:ascii="Times New Roman" w:hAnsi="Times New Roman" w:cs="Times New Roman"/>
          <w:rFonts w:ascii="Times New Roman" w:hAnsi="Times New Roman"/>
          <w:b w:val="0"/>
          <w:i/>
          <w:sz w:val="24"/>
        </w:rPr>
        <w:t>DISCERN Total Scores by Platform</w:t>
      </w:r>
    </w:p>
    <w:tbl>
      <w:tblPr>
        <w:tblW w:type="auto" w:w="0"/>
        <w:jc w:val="center"/>
        <w:tblLayout w:type="autofit"/>
        <w:tblLook w:firstColumn="1" w:firstRow="1" w:lastColumn="0" w:lastRow="0" w:noHBand="0" w:noVBand="1" w:val="04A0"/>
        <w:tblBorders>
          <w:top w:val="single" w:sz="8" w:space="0" w:color="000000"/>
          <w:bottom w:val="single" w:sz="8" w:space="0" w:color="000000"/>
          <w:insideH w:val="none" w:sz="0" w:space="0" w:color="000000"/>
          <w:insideV w:val="none" w:sz="0" w:space="0" w:color="000000"/>
          <w:left w:val="none" w:sz="0" w:space="0" w:color="000000"/>
          <w:right w:val="none" w:sz="0" w:space="0" w:color="000000"/>
        </w:tblBorders>
      </w:tblPr>
      <w:tblGrid>
        <w:gridCol w:w="1128"/>
        <w:gridCol w:w="1128"/>
        <w:gridCol w:w="1128"/>
        <w:gridCol w:w="1128"/>
        <w:gridCol w:w="1128"/>
        <w:gridCol w:w="1128"/>
        <w:gridCol w:w="1128"/>
        <w:gridCol w:w="1128"/>
      </w:tblGrid>
      <w:tr>
        <w:tc>
          <w:tcPr>
            <w:tcW w:type="dxa" w:w="1296"/>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Platform</w:t>
            </w:r>
          </w:p>
        </w:tc>
        <w:tc>
          <w:tcPr>
            <w:tcW w:type="dxa" w:w="576"/>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n</w:t>
            </w:r>
          </w:p>
        </w:tc>
        <w:tc>
          <w:tcPr>
            <w:tcW w:type="dxa" w:w="792"/>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M</w:t>
            </w:r>
          </w:p>
        </w:tc>
        <w:tc>
          <w:tcPr>
            <w:tcW w:type="dxa" w:w="720"/>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SD</w:t>
            </w:r>
          </w:p>
        </w:tc>
        <w:tc>
          <w:tcPr>
            <w:tcW w:type="dxa" w:w="864"/>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Mdn</w:t>
            </w:r>
          </w:p>
        </w:tc>
        <w:tc>
          <w:tcPr>
            <w:tcW w:type="dxa" w:w="1584"/>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IQR</w:t>
            </w:r>
          </w:p>
        </w:tc>
        <w:tc>
          <w:tcPr>
            <w:tcW w:type="dxa" w:w="1080"/>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Range</w:t>
            </w:r>
          </w:p>
        </w:tc>
        <w:tc>
          <w:tcPr>
            <w:tcW w:type="dxa" w:w="1728"/>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Quality category</w:t>
            </w:r>
          </w:p>
        </w:tc>
      </w:tr>
      <w:tr>
        <w:tc>
          <w:tcPr>
            <w:tcW w:type="dxa" w:w="1296"/>
          </w:tcPr>
          <w:p>
            <w:pPr>
              <w:spacing w:before="20" w:after="20" w:line="276" w:lineRule="auto"/>
              <w:jc w:val="left"/>
            </w:pPr>
            <w:r/>
            <w:r>
              <w:rPr>
                <w:rFonts w:ascii="Times New Roman" w:hAnsi="Times New Roman" w:cs="Times New Roman"/>
                <w:rFonts w:ascii="Times New Roman" w:hAnsi="Times New Roman"/>
                <w:b w:val="0"/>
                <w:i w:val="0"/>
                <w:sz w:val="20"/>
              </w:rPr>
              <w:t>Website</w:t>
            </w:r>
          </w:p>
        </w:tc>
        <w:tc>
          <w:tcPr>
            <w:tcW w:type="dxa" w:w="576"/>
          </w:tcPr>
          <w:p>
            <w:pPr>
              <w:spacing w:before="20" w:after="20" w:line="276" w:lineRule="auto"/>
              <w:jc w:val="center"/>
            </w:pPr>
            <w:r/>
            <w:r>
              <w:rPr>
                <w:rFonts w:ascii="Times New Roman" w:hAnsi="Times New Roman" w:cs="Times New Roman"/>
                <w:rFonts w:ascii="Times New Roman" w:hAnsi="Times New Roman"/>
                <w:b w:val="0"/>
                <w:i w:val="0"/>
                <w:sz w:val="20"/>
              </w:rPr>
              <w:t>50</w:t>
            </w:r>
          </w:p>
        </w:tc>
        <w:tc>
          <w:tcPr>
            <w:tcW w:type="dxa" w:w="792"/>
          </w:tcPr>
          <w:p>
            <w:pPr>
              <w:spacing w:before="20" w:after="20" w:line="276" w:lineRule="auto"/>
              <w:jc w:val="center"/>
            </w:pPr>
            <w:r/>
            <w:r>
              <w:rPr>
                <w:rFonts w:ascii="Times New Roman" w:hAnsi="Times New Roman" w:cs="Times New Roman"/>
                <w:rFonts w:ascii="Times New Roman" w:hAnsi="Times New Roman"/>
                <w:b w:val="0"/>
                <w:i w:val="0"/>
                <w:sz w:val="20"/>
              </w:rPr>
              <w:t>48.70</w:t>
            </w:r>
          </w:p>
        </w:tc>
        <w:tc>
          <w:tcPr>
            <w:tcW w:type="dxa" w:w="720"/>
          </w:tcPr>
          <w:p>
            <w:pPr>
              <w:spacing w:before="20" w:after="20" w:line="276" w:lineRule="auto"/>
              <w:jc w:val="center"/>
            </w:pPr>
            <w:r/>
            <w:r>
              <w:rPr>
                <w:rFonts w:ascii="Times New Roman" w:hAnsi="Times New Roman" w:cs="Times New Roman"/>
                <w:rFonts w:ascii="Times New Roman" w:hAnsi="Times New Roman"/>
                <w:b w:val="0"/>
                <w:i w:val="0"/>
                <w:sz w:val="20"/>
              </w:rPr>
              <w:t>8.17</w:t>
            </w:r>
          </w:p>
        </w:tc>
        <w:tc>
          <w:tcPr>
            <w:tcW w:type="dxa" w:w="864"/>
          </w:tcPr>
          <w:p>
            <w:pPr>
              <w:spacing w:before="20" w:after="20" w:line="276" w:lineRule="auto"/>
              <w:jc w:val="center"/>
            </w:pPr>
            <w:r/>
            <w:r>
              <w:rPr>
                <w:rFonts w:ascii="Times New Roman" w:hAnsi="Times New Roman" w:cs="Times New Roman"/>
                <w:rFonts w:ascii="Times New Roman" w:hAnsi="Times New Roman"/>
                <w:b w:val="0"/>
                <w:i w:val="0"/>
                <w:sz w:val="20"/>
              </w:rPr>
              <w:t>48.00</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42.25–55.00</w:t>
            </w:r>
          </w:p>
        </w:tc>
        <w:tc>
          <w:tcPr>
            <w:tcW w:type="dxa" w:w="1080"/>
          </w:tcPr>
          <w:p>
            <w:pPr>
              <w:spacing w:before="20" w:after="20" w:line="276" w:lineRule="auto"/>
              <w:jc w:val="center"/>
            </w:pPr>
            <w:r/>
            <w:r>
              <w:rPr>
                <w:rFonts w:ascii="Times New Roman" w:hAnsi="Times New Roman" w:cs="Times New Roman"/>
                <w:rFonts w:ascii="Times New Roman" w:hAnsi="Times New Roman"/>
                <w:b w:val="0"/>
                <w:i w:val="0"/>
                <w:sz w:val="20"/>
              </w:rPr>
              <w:t>31–65</w:t>
            </w:r>
          </w:p>
        </w:tc>
        <w:tc>
          <w:tcPr>
            <w:tcW w:type="dxa" w:w="1728"/>
          </w:tcPr>
          <w:p>
            <w:pPr>
              <w:spacing w:before="20" w:after="20" w:line="276" w:lineRule="auto"/>
              <w:jc w:val="center"/>
            </w:pPr>
            <w:r/>
            <w:r>
              <w:rPr>
                <w:rFonts w:ascii="Times New Roman" w:hAnsi="Times New Roman" w:cs="Times New Roman"/>
                <w:rFonts w:ascii="Times New Roman" w:hAnsi="Times New Roman"/>
                <w:b w:val="0"/>
                <w:i w:val="0"/>
                <w:sz w:val="20"/>
              </w:rPr>
              <w:t>Fair–Good</w:t>
            </w:r>
          </w:p>
        </w:tc>
      </w:tr>
      <w:tr>
        <w:tc>
          <w:tcPr>
            <w:tcW w:type="dxa" w:w="1296"/>
          </w:tcPr>
          <w:p>
            <w:pPr>
              <w:spacing w:before="20" w:after="20" w:line="276" w:lineRule="auto"/>
              <w:jc w:val="left"/>
            </w:pPr>
            <w:r/>
            <w:r>
              <w:rPr>
                <w:rFonts w:ascii="Times New Roman" w:hAnsi="Times New Roman" w:cs="Times New Roman"/>
                <w:rFonts w:ascii="Times New Roman" w:hAnsi="Times New Roman"/>
                <w:b w:val="0"/>
                <w:i w:val="0"/>
                <w:sz w:val="20"/>
              </w:rPr>
              <w:t>YouTube</w:t>
            </w:r>
          </w:p>
        </w:tc>
        <w:tc>
          <w:tcPr>
            <w:tcW w:type="dxa" w:w="576"/>
          </w:tcPr>
          <w:p>
            <w:pPr>
              <w:spacing w:before="20" w:after="20" w:line="276" w:lineRule="auto"/>
              <w:jc w:val="center"/>
            </w:pPr>
            <w:r/>
            <w:r>
              <w:rPr>
                <w:rFonts w:ascii="Times New Roman" w:hAnsi="Times New Roman" w:cs="Times New Roman"/>
                <w:rFonts w:ascii="Times New Roman" w:hAnsi="Times New Roman"/>
                <w:b w:val="0"/>
                <w:i w:val="0"/>
                <w:sz w:val="20"/>
              </w:rPr>
              <w:t>50</w:t>
            </w:r>
          </w:p>
        </w:tc>
        <w:tc>
          <w:tcPr>
            <w:tcW w:type="dxa" w:w="792"/>
          </w:tcPr>
          <w:p>
            <w:pPr>
              <w:spacing w:before="20" w:after="20" w:line="276" w:lineRule="auto"/>
              <w:jc w:val="center"/>
            </w:pPr>
            <w:r/>
            <w:r>
              <w:rPr>
                <w:rFonts w:ascii="Times New Roman" w:hAnsi="Times New Roman" w:cs="Times New Roman"/>
                <w:rFonts w:ascii="Times New Roman" w:hAnsi="Times New Roman"/>
                <w:b w:val="0"/>
                <w:i w:val="0"/>
                <w:sz w:val="20"/>
              </w:rPr>
              <w:t>40.36</w:t>
            </w:r>
          </w:p>
        </w:tc>
        <w:tc>
          <w:tcPr>
            <w:tcW w:type="dxa" w:w="720"/>
          </w:tcPr>
          <w:p>
            <w:pPr>
              <w:spacing w:before="20" w:after="20" w:line="276" w:lineRule="auto"/>
              <w:jc w:val="center"/>
            </w:pPr>
            <w:r/>
            <w:r>
              <w:rPr>
                <w:rFonts w:ascii="Times New Roman" w:hAnsi="Times New Roman" w:cs="Times New Roman"/>
                <w:rFonts w:ascii="Times New Roman" w:hAnsi="Times New Roman"/>
                <w:b w:val="0"/>
                <w:i w:val="0"/>
                <w:sz w:val="20"/>
              </w:rPr>
              <w:t>6.21</w:t>
            </w:r>
          </w:p>
        </w:tc>
        <w:tc>
          <w:tcPr>
            <w:tcW w:type="dxa" w:w="864"/>
          </w:tcPr>
          <w:p>
            <w:pPr>
              <w:spacing w:before="20" w:after="20" w:line="276" w:lineRule="auto"/>
              <w:jc w:val="center"/>
            </w:pPr>
            <w:r/>
            <w:r>
              <w:rPr>
                <w:rFonts w:ascii="Times New Roman" w:hAnsi="Times New Roman" w:cs="Times New Roman"/>
                <w:rFonts w:ascii="Times New Roman" w:hAnsi="Times New Roman"/>
                <w:b w:val="0"/>
                <w:i w:val="0"/>
                <w:sz w:val="20"/>
              </w:rPr>
              <w:t>39.00</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36.00–42.75</w:t>
            </w:r>
          </w:p>
        </w:tc>
        <w:tc>
          <w:tcPr>
            <w:tcW w:type="dxa" w:w="1080"/>
          </w:tcPr>
          <w:p>
            <w:pPr>
              <w:spacing w:before="20" w:after="20" w:line="276" w:lineRule="auto"/>
              <w:jc w:val="center"/>
            </w:pPr>
            <w:r/>
            <w:r>
              <w:rPr>
                <w:rFonts w:ascii="Times New Roman" w:hAnsi="Times New Roman" w:cs="Times New Roman"/>
                <w:rFonts w:ascii="Times New Roman" w:hAnsi="Times New Roman"/>
                <w:b w:val="0"/>
                <w:i w:val="0"/>
                <w:sz w:val="20"/>
              </w:rPr>
              <w:t>28–63</w:t>
            </w:r>
          </w:p>
        </w:tc>
        <w:tc>
          <w:tcPr>
            <w:tcW w:type="dxa" w:w="1728"/>
          </w:tcPr>
          <w:p>
            <w:pPr>
              <w:spacing w:before="20" w:after="20" w:line="276" w:lineRule="auto"/>
              <w:jc w:val="center"/>
            </w:pPr>
            <w:r/>
            <w:r>
              <w:rPr>
                <w:rFonts w:ascii="Times New Roman" w:hAnsi="Times New Roman" w:cs="Times New Roman"/>
                <w:rFonts w:ascii="Times New Roman" w:hAnsi="Times New Roman"/>
                <w:b w:val="0"/>
                <w:i w:val="0"/>
                <w:sz w:val="20"/>
              </w:rPr>
              <w:t>Fair</w:t>
            </w:r>
          </w:p>
        </w:tc>
      </w:tr>
      <w:tr>
        <w:tc>
          <w:tcPr>
            <w:tcW w:type="dxa" w:w="1296"/>
          </w:tcPr>
          <w:p>
            <w:pPr>
              <w:spacing w:before="20" w:after="20" w:line="276" w:lineRule="auto"/>
              <w:jc w:val="left"/>
            </w:pPr>
            <w:r/>
            <w:r>
              <w:rPr>
                <w:rFonts w:ascii="Times New Roman" w:hAnsi="Times New Roman" w:cs="Times New Roman"/>
                <w:rFonts w:ascii="Times New Roman" w:hAnsi="Times New Roman"/>
                <w:b w:val="0"/>
                <w:i w:val="0"/>
                <w:sz w:val="20"/>
              </w:rPr>
              <w:t>TikTok</w:t>
            </w:r>
          </w:p>
        </w:tc>
        <w:tc>
          <w:tcPr>
            <w:tcW w:type="dxa" w:w="576"/>
          </w:tcPr>
          <w:p>
            <w:pPr>
              <w:spacing w:before="20" w:after="20" w:line="276" w:lineRule="auto"/>
              <w:jc w:val="center"/>
            </w:pPr>
            <w:r/>
            <w:r>
              <w:rPr>
                <w:rFonts w:ascii="Times New Roman" w:hAnsi="Times New Roman" w:cs="Times New Roman"/>
                <w:rFonts w:ascii="Times New Roman" w:hAnsi="Times New Roman"/>
                <w:b w:val="0"/>
                <w:i w:val="0"/>
                <w:sz w:val="20"/>
              </w:rPr>
              <w:t>50</w:t>
            </w:r>
          </w:p>
        </w:tc>
        <w:tc>
          <w:tcPr>
            <w:tcW w:type="dxa" w:w="792"/>
          </w:tcPr>
          <w:p>
            <w:pPr>
              <w:spacing w:before="20" w:after="20" w:line="276" w:lineRule="auto"/>
              <w:jc w:val="center"/>
            </w:pPr>
            <w:r/>
            <w:r>
              <w:rPr>
                <w:rFonts w:ascii="Times New Roman" w:hAnsi="Times New Roman" w:cs="Times New Roman"/>
                <w:rFonts w:ascii="Times New Roman" w:hAnsi="Times New Roman"/>
                <w:b w:val="0"/>
                <w:i w:val="0"/>
                <w:sz w:val="20"/>
              </w:rPr>
              <w:t>32.38</w:t>
            </w:r>
          </w:p>
        </w:tc>
        <w:tc>
          <w:tcPr>
            <w:tcW w:type="dxa" w:w="720"/>
          </w:tcPr>
          <w:p>
            <w:pPr>
              <w:spacing w:before="20" w:after="20" w:line="276" w:lineRule="auto"/>
              <w:jc w:val="center"/>
            </w:pPr>
            <w:r/>
            <w:r>
              <w:rPr>
                <w:rFonts w:ascii="Times New Roman" w:hAnsi="Times New Roman" w:cs="Times New Roman"/>
                <w:rFonts w:ascii="Times New Roman" w:hAnsi="Times New Roman"/>
                <w:b w:val="0"/>
                <w:i w:val="0"/>
                <w:sz w:val="20"/>
              </w:rPr>
              <w:t>6.39</w:t>
            </w:r>
          </w:p>
        </w:tc>
        <w:tc>
          <w:tcPr>
            <w:tcW w:type="dxa" w:w="864"/>
          </w:tcPr>
          <w:p>
            <w:pPr>
              <w:spacing w:before="20" w:after="20" w:line="276" w:lineRule="auto"/>
              <w:jc w:val="center"/>
            </w:pPr>
            <w:r/>
            <w:r>
              <w:rPr>
                <w:rFonts w:ascii="Times New Roman" w:hAnsi="Times New Roman" w:cs="Times New Roman"/>
                <w:rFonts w:ascii="Times New Roman" w:hAnsi="Times New Roman"/>
                <w:b w:val="0"/>
                <w:i w:val="0"/>
                <w:sz w:val="20"/>
              </w:rPr>
              <w:t>31.00</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29.00–37.00</w:t>
            </w:r>
          </w:p>
        </w:tc>
        <w:tc>
          <w:tcPr>
            <w:tcW w:type="dxa" w:w="1080"/>
          </w:tcPr>
          <w:p>
            <w:pPr>
              <w:spacing w:before="20" w:after="20" w:line="276" w:lineRule="auto"/>
              <w:jc w:val="center"/>
            </w:pPr>
            <w:r/>
            <w:r>
              <w:rPr>
                <w:rFonts w:ascii="Times New Roman" w:hAnsi="Times New Roman" w:cs="Times New Roman"/>
                <w:rFonts w:ascii="Times New Roman" w:hAnsi="Times New Roman"/>
                <w:b w:val="0"/>
                <w:i w:val="0"/>
                <w:sz w:val="20"/>
              </w:rPr>
              <w:t>20–51</w:t>
            </w:r>
          </w:p>
        </w:tc>
        <w:tc>
          <w:tcPr>
            <w:tcW w:type="dxa" w:w="1728"/>
          </w:tcPr>
          <w:p>
            <w:pPr>
              <w:spacing w:before="20" w:after="20" w:line="276" w:lineRule="auto"/>
              <w:jc w:val="center"/>
            </w:pPr>
            <w:r/>
            <w:r>
              <w:rPr>
                <w:rFonts w:ascii="Times New Roman" w:hAnsi="Times New Roman" w:cs="Times New Roman"/>
                <w:rFonts w:ascii="Times New Roman" w:hAnsi="Times New Roman"/>
                <w:b w:val="0"/>
                <w:i w:val="0"/>
                <w:sz w:val="20"/>
              </w:rPr>
              <w:t>Poor</w:t>
            </w:r>
          </w:p>
        </w:tc>
      </w:tr>
      <w:tr>
        <w:tc>
          <w:tcPr>
            <w:tcW w:type="dxa" w:w="1296"/>
          </w:tcPr>
          <w:p>
            <w:pPr>
              <w:spacing w:before="20" w:after="20" w:line="276" w:lineRule="auto"/>
              <w:jc w:val="left"/>
            </w:pPr>
            <w:r/>
            <w:r>
              <w:rPr>
                <w:rFonts w:ascii="Times New Roman" w:hAnsi="Times New Roman" w:cs="Times New Roman"/>
                <w:rFonts w:ascii="Times New Roman" w:hAnsi="Times New Roman"/>
                <w:b w:val="0"/>
                <w:i w:val="0"/>
                <w:sz w:val="20"/>
              </w:rPr>
              <w:t>Instagram</w:t>
            </w:r>
          </w:p>
        </w:tc>
        <w:tc>
          <w:tcPr>
            <w:tcW w:type="dxa" w:w="576"/>
          </w:tcPr>
          <w:p>
            <w:pPr>
              <w:spacing w:before="20" w:after="20" w:line="276" w:lineRule="auto"/>
              <w:jc w:val="center"/>
            </w:pPr>
            <w:r/>
            <w:r>
              <w:rPr>
                <w:rFonts w:ascii="Times New Roman" w:hAnsi="Times New Roman" w:cs="Times New Roman"/>
                <w:rFonts w:ascii="Times New Roman" w:hAnsi="Times New Roman"/>
                <w:b w:val="0"/>
                <w:i w:val="0"/>
                <w:sz w:val="20"/>
              </w:rPr>
              <w:t>50</w:t>
            </w:r>
          </w:p>
        </w:tc>
        <w:tc>
          <w:tcPr>
            <w:tcW w:type="dxa" w:w="792"/>
          </w:tcPr>
          <w:p>
            <w:pPr>
              <w:spacing w:before="20" w:after="20" w:line="276" w:lineRule="auto"/>
              <w:jc w:val="center"/>
            </w:pPr>
            <w:r/>
            <w:r>
              <w:rPr>
                <w:rFonts w:ascii="Times New Roman" w:hAnsi="Times New Roman" w:cs="Times New Roman"/>
                <w:rFonts w:ascii="Times New Roman" w:hAnsi="Times New Roman"/>
                <w:b w:val="0"/>
                <w:i w:val="0"/>
                <w:sz w:val="20"/>
              </w:rPr>
              <w:t>23.78</w:t>
            </w:r>
          </w:p>
        </w:tc>
        <w:tc>
          <w:tcPr>
            <w:tcW w:type="dxa" w:w="720"/>
          </w:tcPr>
          <w:p>
            <w:pPr>
              <w:spacing w:before="20" w:after="20" w:line="276" w:lineRule="auto"/>
              <w:jc w:val="center"/>
            </w:pPr>
            <w:r/>
            <w:r>
              <w:rPr>
                <w:rFonts w:ascii="Times New Roman" w:hAnsi="Times New Roman" w:cs="Times New Roman"/>
                <w:rFonts w:ascii="Times New Roman" w:hAnsi="Times New Roman"/>
                <w:b w:val="0"/>
                <w:i w:val="0"/>
                <w:sz w:val="20"/>
              </w:rPr>
              <w:t>5.83</w:t>
            </w:r>
          </w:p>
        </w:tc>
        <w:tc>
          <w:tcPr>
            <w:tcW w:type="dxa" w:w="864"/>
          </w:tcPr>
          <w:p>
            <w:pPr>
              <w:spacing w:before="20" w:after="20" w:line="276" w:lineRule="auto"/>
              <w:jc w:val="center"/>
            </w:pPr>
            <w:r/>
            <w:r>
              <w:rPr>
                <w:rFonts w:ascii="Times New Roman" w:hAnsi="Times New Roman" w:cs="Times New Roman"/>
                <w:rFonts w:ascii="Times New Roman" w:hAnsi="Times New Roman"/>
                <w:b w:val="0"/>
                <w:i w:val="0"/>
                <w:sz w:val="20"/>
              </w:rPr>
              <w:t>21.00</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18.25–29.75</w:t>
            </w:r>
          </w:p>
        </w:tc>
        <w:tc>
          <w:tcPr>
            <w:tcW w:type="dxa" w:w="1080"/>
          </w:tcPr>
          <w:p>
            <w:pPr>
              <w:spacing w:before="20" w:after="20" w:line="276" w:lineRule="auto"/>
              <w:jc w:val="center"/>
            </w:pPr>
            <w:r/>
            <w:r>
              <w:rPr>
                <w:rFonts w:ascii="Times New Roman" w:hAnsi="Times New Roman" w:cs="Times New Roman"/>
                <w:rFonts w:ascii="Times New Roman" w:hAnsi="Times New Roman"/>
                <w:b w:val="0"/>
                <w:i w:val="0"/>
                <w:sz w:val="20"/>
              </w:rPr>
              <w:t>16–39</w:t>
            </w:r>
          </w:p>
        </w:tc>
        <w:tc>
          <w:tcPr>
            <w:tcW w:type="dxa" w:w="1728"/>
          </w:tcPr>
          <w:p>
            <w:pPr>
              <w:spacing w:before="20" w:after="20" w:line="276" w:lineRule="auto"/>
              <w:jc w:val="center"/>
            </w:pPr>
            <w:r/>
            <w:r>
              <w:rPr>
                <w:rFonts w:ascii="Times New Roman" w:hAnsi="Times New Roman" w:cs="Times New Roman"/>
                <w:rFonts w:ascii="Times New Roman" w:hAnsi="Times New Roman"/>
                <w:b w:val="0"/>
                <w:i w:val="0"/>
                <w:sz w:val="20"/>
              </w:rPr>
              <w:t>Very Poor–Poor</w:t>
            </w:r>
          </w:p>
        </w:tc>
      </w:tr>
      <w:tr>
        <w:tc>
          <w:tcPr>
            <w:tcW w:type="dxa" w:w="1296"/>
          </w:tcPr>
          <w:p>
            <w:pPr>
              <w:spacing w:before="20" w:after="20" w:line="276" w:lineRule="auto"/>
              <w:jc w:val="left"/>
            </w:pPr>
            <w:r/>
            <w:r>
              <w:rPr>
                <w:rFonts w:ascii="Times New Roman" w:hAnsi="Times New Roman" w:cs="Times New Roman"/>
                <w:rFonts w:ascii="Times New Roman" w:hAnsi="Times New Roman"/>
                <w:b w:val="0"/>
                <w:i w:val="0"/>
                <w:sz w:val="20"/>
              </w:rPr>
              <w:t>Overall</w:t>
            </w:r>
          </w:p>
        </w:tc>
        <w:tc>
          <w:tcPr>
            <w:tcW w:type="dxa" w:w="576"/>
          </w:tcPr>
          <w:p>
            <w:pPr>
              <w:spacing w:before="20" w:after="20" w:line="276" w:lineRule="auto"/>
              <w:jc w:val="center"/>
            </w:pPr>
            <w:r/>
            <w:r>
              <w:rPr>
                <w:rFonts w:ascii="Times New Roman" w:hAnsi="Times New Roman" w:cs="Times New Roman"/>
                <w:rFonts w:ascii="Times New Roman" w:hAnsi="Times New Roman"/>
                <w:b w:val="0"/>
                <w:i w:val="0"/>
                <w:sz w:val="20"/>
              </w:rPr>
              <w:t>200</w:t>
            </w:r>
          </w:p>
        </w:tc>
        <w:tc>
          <w:tcPr>
            <w:tcW w:type="dxa" w:w="792"/>
          </w:tcPr>
          <w:p>
            <w:pPr>
              <w:spacing w:before="20" w:after="20" w:line="276" w:lineRule="auto"/>
              <w:jc w:val="center"/>
            </w:pPr>
            <w:r/>
            <w:r>
              <w:rPr>
                <w:rFonts w:ascii="Times New Roman" w:hAnsi="Times New Roman" w:cs="Times New Roman"/>
                <w:rFonts w:ascii="Times New Roman" w:hAnsi="Times New Roman"/>
                <w:b w:val="0"/>
                <w:i w:val="0"/>
                <w:sz w:val="20"/>
              </w:rPr>
              <w:t>36.30</w:t>
            </w:r>
          </w:p>
        </w:tc>
        <w:tc>
          <w:tcPr>
            <w:tcW w:type="dxa" w:w="720"/>
          </w:tcPr>
          <w:p>
            <w:pPr>
              <w:spacing w:before="20" w:after="20" w:line="276" w:lineRule="auto"/>
              <w:jc w:val="center"/>
            </w:pPr>
            <w:r/>
            <w:r>
              <w:rPr>
                <w:rFonts w:ascii="Times New Roman" w:hAnsi="Times New Roman" w:cs="Times New Roman"/>
                <w:rFonts w:ascii="Times New Roman" w:hAnsi="Times New Roman"/>
                <w:b w:val="0"/>
                <w:i w:val="0"/>
                <w:sz w:val="20"/>
              </w:rPr>
              <w:t>11.42</w:t>
            </w:r>
          </w:p>
        </w:tc>
        <w:tc>
          <w:tcPr>
            <w:tcW w:type="dxa" w:w="864"/>
          </w:tcPr>
          <w:p>
            <w:pPr>
              <w:spacing w:before="20" w:after="20" w:line="276" w:lineRule="auto"/>
              <w:jc w:val="center"/>
            </w:pPr>
            <w:r/>
            <w:r>
              <w:rPr>
                <w:rFonts w:ascii="Times New Roman" w:hAnsi="Times New Roman" w:cs="Times New Roman"/>
                <w:rFonts w:ascii="Times New Roman" w:hAnsi="Times New Roman"/>
                <w:b w:val="0"/>
                <w:i w:val="0"/>
                <w:sz w:val="20"/>
              </w:rPr>
              <w:t>35.50</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24.00–44.00</w:t>
            </w:r>
          </w:p>
        </w:tc>
        <w:tc>
          <w:tcPr>
            <w:tcW w:type="dxa" w:w="1080"/>
          </w:tcPr>
          <w:p>
            <w:pPr>
              <w:spacing w:before="20" w:after="20" w:line="276" w:lineRule="auto"/>
              <w:jc w:val="center"/>
            </w:pPr>
            <w:r/>
            <w:r>
              <w:rPr>
                <w:rFonts w:ascii="Times New Roman" w:hAnsi="Times New Roman" w:cs="Times New Roman"/>
                <w:rFonts w:ascii="Times New Roman" w:hAnsi="Times New Roman"/>
                <w:b w:val="0"/>
                <w:i w:val="0"/>
                <w:sz w:val="20"/>
              </w:rPr>
              <w:t>16–65</w:t>
            </w:r>
          </w:p>
        </w:tc>
        <w:tc>
          <w:tcPr>
            <w:tcW w:type="dxa" w:w="1728"/>
          </w:tcPr>
          <w:p>
            <w:pPr>
              <w:spacing w:before="20" w:after="20" w:line="276" w:lineRule="auto"/>
              <w:jc w:val="center"/>
            </w:pPr>
            <w:r/>
            <w:r>
              <w:rPr>
                <w:rFonts w:ascii="Times New Roman" w:hAnsi="Times New Roman" w:cs="Times New Roman"/>
                <w:rFonts w:ascii="Times New Roman" w:hAnsi="Times New Roman"/>
                <w:b w:val="0"/>
                <w:i w:val="0"/>
                <w:sz w:val="20"/>
              </w:rPr>
              <w:t>Poor–Fair</w:t>
            </w:r>
          </w:p>
        </w:tc>
      </w:tr>
    </w:tbl>
    <w:p>
      <w:pPr>
        <w:spacing w:before="0" w:after="240" w:line="360" w:lineRule="auto"/>
        <w:jc w:val="left"/>
      </w:pPr>
      <w:r>
        <w:rPr>
          <w:rFonts w:ascii="Times New Roman" w:hAnsi="Times New Roman" w:cs="Times New Roman"/>
          <w:rFonts w:ascii="Times New Roman" w:hAnsi="Times New Roman"/>
          <w:b w:val="0"/>
          <w:i/>
          <w:sz w:val="20"/>
        </w:rPr>
        <w:t xml:space="preserve">Note. </w:t>
      </w:r>
      <w:r>
        <w:rPr>
          <w:rFonts w:ascii="Times New Roman" w:hAnsi="Times New Roman" w:cs="Times New Roman"/>
          <w:rFonts w:ascii="Times New Roman" w:hAnsi="Times New Roman"/>
          <w:b w:val="0"/>
          <w:i w:val="0"/>
          <w:sz w:val="20"/>
        </w:rPr>
        <w:t>Quality categories based on DISCERN thresholds: 16–26 = Very Poor, 27–38 = Poor, 39–50 = Fair, 51–62 = Good, 63–80 = Excellent.</w:t>
      </w:r>
    </w:p>
    <w:p>
      <w:pPr>
        <w:spacing w:before="0" w:after="120" w:line="360" w:lineRule="auto"/>
        <w:ind w:firstLine="709"/>
        <w:jc w:val="both"/>
      </w:pPr>
      <w:r>
        <w:rPr>
          <w:rFonts w:ascii="Times New Roman" w:hAnsi="Times New Roman" w:cs="Times New Roman"/>
          <w:rFonts w:ascii="Times New Roman" w:hAnsi="Times New Roman"/>
          <w:b w:val="0"/>
          <w:i w:val="0"/>
          <w:sz w:val="24"/>
        </w:rPr>
        <w:t>A Kruskal-Wallis H test confirmed that DISCERN total scores differed significantly across the four platforms, H(3) = 136.58, p &lt; .001, η² = .68, indicating a large effect. All six pairwise comparisons using Dunn’s post-hoc test with Bonferroni correction were statistically significant (p &lt; .05). Table 3 presents the pairwise comparisons with effect sizes.</w:t>
      </w:r>
    </w:p>
    <w:p>
      <w:pPr>
        <w:spacing w:before="240" w:after="0" w:line="360" w:lineRule="auto"/>
        <w:jc w:val="left"/>
      </w:pPr>
      <w:r>
        <w:rPr>
          <w:rFonts w:ascii="Times New Roman" w:hAnsi="Times New Roman" w:cs="Times New Roman"/>
          <w:rFonts w:ascii="Times New Roman" w:hAnsi="Times New Roman"/>
          <w:b/>
          <w:i w:val="0"/>
          <w:sz w:val="24"/>
        </w:rPr>
        <w:t>Table 3</w:t>
      </w:r>
    </w:p>
    <w:p>
      <w:pPr>
        <w:spacing w:before="0" w:after="120" w:line="360" w:lineRule="auto"/>
        <w:jc w:val="left"/>
      </w:pPr>
      <w:r>
        <w:rPr>
          <w:rFonts w:ascii="Times New Roman" w:hAnsi="Times New Roman" w:cs="Times New Roman"/>
          <w:rFonts w:ascii="Times New Roman" w:hAnsi="Times New Roman"/>
          <w:b w:val="0"/>
          <w:i/>
          <w:sz w:val="24"/>
        </w:rPr>
        <w:t>Dunn’s Pairwise Comparisons of DISCERN Total Scores</w:t>
      </w:r>
    </w:p>
    <w:tbl>
      <w:tblPr>
        <w:tblW w:type="auto" w:w="0"/>
        <w:jc w:val="center"/>
        <w:tblLayout w:type="autofit"/>
        <w:tblLook w:firstColumn="1" w:firstRow="1" w:lastColumn="0" w:lastRow="0" w:noHBand="0" w:noVBand="1" w:val="04A0"/>
        <w:tblBorders>
          <w:top w:val="single" w:sz="8" w:space="0" w:color="000000"/>
          <w:bottom w:val="single" w:sz="8" w:space="0" w:color="000000"/>
          <w:insideH w:val="none" w:sz="0" w:space="0" w:color="000000"/>
          <w:insideV w:val="none" w:sz="0" w:space="0" w:color="000000"/>
          <w:left w:val="none" w:sz="0" w:space="0" w:color="000000"/>
          <w:right w:val="none" w:sz="0" w:space="0" w:color="000000"/>
        </w:tblBorders>
      </w:tblPr>
      <w:tblGrid>
        <w:gridCol w:w="2256"/>
        <w:gridCol w:w="2256"/>
        <w:gridCol w:w="2256"/>
        <w:gridCol w:w="2256"/>
      </w:tblGrid>
      <w:tr>
        <w:tc>
          <w:tcPr>
            <w:tcW w:type="dxa" w:w="3168"/>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Comparison</w:t>
            </w:r>
          </w:p>
        </w:tc>
        <w:tc>
          <w:tcPr>
            <w:tcW w:type="dxa" w:w="1152"/>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z</w:t>
            </w:r>
          </w:p>
        </w:tc>
        <w:tc>
          <w:tcPr>
            <w:tcW w:type="dxa" w:w="1728"/>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p (adjusted)</w:t>
            </w:r>
          </w:p>
        </w:tc>
        <w:tc>
          <w:tcPr>
            <w:tcW w:type="dxa" w:w="1440"/>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r</w:t>
            </w:r>
          </w:p>
        </w:tc>
      </w:tr>
      <w:tr>
        <w:tc>
          <w:tcPr>
            <w:tcW w:type="dxa" w:w="3168"/>
          </w:tcPr>
          <w:p>
            <w:pPr>
              <w:spacing w:before="20" w:after="20" w:line="276" w:lineRule="auto"/>
              <w:jc w:val="left"/>
            </w:pPr>
            <w:r/>
            <w:r>
              <w:rPr>
                <w:rFonts w:ascii="Times New Roman" w:hAnsi="Times New Roman" w:cs="Times New Roman"/>
                <w:rFonts w:ascii="Times New Roman" w:hAnsi="Times New Roman"/>
                <w:b w:val="0"/>
                <w:i w:val="0"/>
                <w:sz w:val="20"/>
              </w:rPr>
              <w:t>Website vs. Instagram</w:t>
            </w:r>
          </w:p>
        </w:tc>
        <w:tc>
          <w:tcPr>
            <w:tcW w:type="dxa" w:w="1152"/>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728"/>
          </w:tcPr>
          <w:p>
            <w:pPr>
              <w:spacing w:before="20" w:after="20" w:line="276" w:lineRule="auto"/>
              <w:jc w:val="center"/>
            </w:pPr>
            <w:r/>
            <w:r>
              <w:rPr>
                <w:rFonts w:ascii="Times New Roman" w:hAnsi="Times New Roman" w:cs="Times New Roman"/>
                <w:rFonts w:ascii="Times New Roman" w:hAnsi="Times New Roman"/>
                <w:b w:val="0"/>
                <w:i w:val="0"/>
                <w:sz w:val="20"/>
              </w:rPr>
              <w:t>&lt; .001</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−0.995</w:t>
            </w:r>
          </w:p>
        </w:tc>
      </w:tr>
      <w:tr>
        <w:tc>
          <w:tcPr>
            <w:tcW w:type="dxa" w:w="3168"/>
          </w:tcPr>
          <w:p>
            <w:pPr>
              <w:spacing w:before="20" w:after="20" w:line="276" w:lineRule="auto"/>
              <w:jc w:val="left"/>
            </w:pPr>
            <w:r/>
            <w:r>
              <w:rPr>
                <w:rFonts w:ascii="Times New Roman" w:hAnsi="Times New Roman" w:cs="Times New Roman"/>
                <w:rFonts w:ascii="Times New Roman" w:hAnsi="Times New Roman"/>
                <w:b w:val="0"/>
                <w:i w:val="0"/>
                <w:sz w:val="20"/>
              </w:rPr>
              <w:t>Website vs. TikTok</w:t>
            </w:r>
          </w:p>
        </w:tc>
        <w:tc>
          <w:tcPr>
            <w:tcW w:type="dxa" w:w="1152"/>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728"/>
          </w:tcPr>
          <w:p>
            <w:pPr>
              <w:spacing w:before="20" w:after="20" w:line="276" w:lineRule="auto"/>
              <w:jc w:val="center"/>
            </w:pPr>
            <w:r/>
            <w:r>
              <w:rPr>
                <w:rFonts w:ascii="Times New Roman" w:hAnsi="Times New Roman" w:cs="Times New Roman"/>
                <w:rFonts w:ascii="Times New Roman" w:hAnsi="Times New Roman"/>
                <w:b w:val="0"/>
                <w:i w:val="0"/>
                <w:sz w:val="20"/>
              </w:rPr>
              <w:t>&lt; .001</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−0.878</w:t>
            </w:r>
          </w:p>
        </w:tc>
      </w:tr>
      <w:tr>
        <w:tc>
          <w:tcPr>
            <w:tcW w:type="dxa" w:w="3168"/>
          </w:tcPr>
          <w:p>
            <w:pPr>
              <w:spacing w:before="20" w:after="20" w:line="276" w:lineRule="auto"/>
              <w:jc w:val="left"/>
            </w:pPr>
            <w:r/>
            <w:r>
              <w:rPr>
                <w:rFonts w:ascii="Times New Roman" w:hAnsi="Times New Roman" w:cs="Times New Roman"/>
                <w:rFonts w:ascii="Times New Roman" w:hAnsi="Times New Roman"/>
                <w:b w:val="0"/>
                <w:i w:val="0"/>
                <w:sz w:val="20"/>
              </w:rPr>
              <w:t>Website vs. YouTube</w:t>
            </w:r>
          </w:p>
        </w:tc>
        <w:tc>
          <w:tcPr>
            <w:tcW w:type="dxa" w:w="1152"/>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728"/>
          </w:tcPr>
          <w:p>
            <w:pPr>
              <w:spacing w:before="20" w:after="20" w:line="276" w:lineRule="auto"/>
              <w:jc w:val="center"/>
            </w:pPr>
            <w:r/>
            <w:r>
              <w:rPr>
                <w:rFonts w:ascii="Times New Roman" w:hAnsi="Times New Roman" w:cs="Times New Roman"/>
                <w:rFonts w:ascii="Times New Roman" w:hAnsi="Times New Roman"/>
                <w:b w:val="0"/>
                <w:i w:val="0"/>
                <w:sz w:val="20"/>
              </w:rPr>
              <w:t>&lt; .05</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−0.584</w:t>
            </w:r>
          </w:p>
        </w:tc>
      </w:tr>
      <w:tr>
        <w:tc>
          <w:tcPr>
            <w:tcW w:type="dxa" w:w="3168"/>
          </w:tcPr>
          <w:p>
            <w:pPr>
              <w:spacing w:before="20" w:after="20" w:line="276" w:lineRule="auto"/>
              <w:jc w:val="left"/>
            </w:pPr>
            <w:r/>
            <w:r>
              <w:rPr>
                <w:rFonts w:ascii="Times New Roman" w:hAnsi="Times New Roman" w:cs="Times New Roman"/>
                <w:rFonts w:ascii="Times New Roman" w:hAnsi="Times New Roman"/>
                <w:b w:val="0"/>
                <w:i w:val="0"/>
                <w:sz w:val="20"/>
              </w:rPr>
              <w:t>YouTube vs. Instagram</w:t>
            </w:r>
          </w:p>
        </w:tc>
        <w:tc>
          <w:tcPr>
            <w:tcW w:type="dxa" w:w="1152"/>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728"/>
          </w:tcPr>
          <w:p>
            <w:pPr>
              <w:spacing w:before="20" w:after="20" w:line="276" w:lineRule="auto"/>
              <w:jc w:val="center"/>
            </w:pPr>
            <w:r/>
            <w:r>
              <w:rPr>
                <w:rFonts w:ascii="Times New Roman" w:hAnsi="Times New Roman" w:cs="Times New Roman"/>
                <w:rFonts w:ascii="Times New Roman" w:hAnsi="Times New Roman"/>
                <w:b w:val="0"/>
                <w:i w:val="0"/>
                <w:sz w:val="20"/>
              </w:rPr>
              <w:t>&lt; .001</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−0.974</w:t>
            </w:r>
          </w:p>
        </w:tc>
      </w:tr>
      <w:tr>
        <w:tc>
          <w:tcPr>
            <w:tcW w:type="dxa" w:w="3168"/>
          </w:tcPr>
          <w:p>
            <w:pPr>
              <w:spacing w:before="20" w:after="20" w:line="276" w:lineRule="auto"/>
              <w:jc w:val="left"/>
            </w:pPr>
            <w:r/>
            <w:r>
              <w:rPr>
                <w:rFonts w:ascii="Times New Roman" w:hAnsi="Times New Roman" w:cs="Times New Roman"/>
                <w:rFonts w:ascii="Times New Roman" w:hAnsi="Times New Roman"/>
                <w:b w:val="0"/>
                <w:i w:val="0"/>
                <w:sz w:val="20"/>
              </w:rPr>
              <w:t>YouTube vs. TikTok</w:t>
            </w:r>
          </w:p>
        </w:tc>
        <w:tc>
          <w:tcPr>
            <w:tcW w:type="dxa" w:w="1152"/>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728"/>
          </w:tcPr>
          <w:p>
            <w:pPr>
              <w:spacing w:before="20" w:after="20" w:line="276" w:lineRule="auto"/>
              <w:jc w:val="center"/>
            </w:pPr>
            <w:r/>
            <w:r>
              <w:rPr>
                <w:rFonts w:ascii="Times New Roman" w:hAnsi="Times New Roman" w:cs="Times New Roman"/>
                <w:rFonts w:ascii="Times New Roman" w:hAnsi="Times New Roman"/>
                <w:b w:val="0"/>
                <w:i w:val="0"/>
                <w:sz w:val="20"/>
              </w:rPr>
              <w:t>&lt; .001</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−0.624</w:t>
            </w:r>
          </w:p>
        </w:tc>
      </w:tr>
      <w:tr>
        <w:tc>
          <w:tcPr>
            <w:tcW w:type="dxa" w:w="3168"/>
          </w:tcPr>
          <w:p>
            <w:pPr>
              <w:spacing w:before="20" w:after="20" w:line="276" w:lineRule="auto"/>
              <w:jc w:val="left"/>
            </w:pPr>
            <w:r/>
            <w:r>
              <w:rPr>
                <w:rFonts w:ascii="Times New Roman" w:hAnsi="Times New Roman" w:cs="Times New Roman"/>
                <w:rFonts w:ascii="Times New Roman" w:hAnsi="Times New Roman"/>
                <w:b w:val="0"/>
                <w:i w:val="0"/>
                <w:sz w:val="20"/>
              </w:rPr>
              <w:t>TikTok vs. Instagram</w:t>
            </w:r>
          </w:p>
        </w:tc>
        <w:tc>
          <w:tcPr>
            <w:tcW w:type="dxa" w:w="1152"/>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728"/>
          </w:tcPr>
          <w:p>
            <w:pPr>
              <w:spacing w:before="20" w:after="20" w:line="276" w:lineRule="auto"/>
              <w:jc w:val="center"/>
            </w:pPr>
            <w:r/>
            <w:r>
              <w:rPr>
                <w:rFonts w:ascii="Times New Roman" w:hAnsi="Times New Roman" w:cs="Times New Roman"/>
                <w:rFonts w:ascii="Times New Roman" w:hAnsi="Times New Roman"/>
                <w:b w:val="0"/>
                <w:i w:val="0"/>
                <w:sz w:val="20"/>
              </w:rPr>
              <w:t>&lt; .001</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−0.641</w:t>
            </w:r>
          </w:p>
        </w:tc>
      </w:tr>
    </w:tbl>
    <w:p>
      <w:pPr>
        <w:spacing w:before="0" w:after="240" w:line="360" w:lineRule="auto"/>
        <w:jc w:val="left"/>
      </w:pPr>
      <w:r>
        <w:rPr>
          <w:rFonts w:ascii="Times New Roman" w:hAnsi="Times New Roman" w:cs="Times New Roman"/>
          <w:rFonts w:ascii="Times New Roman" w:hAnsi="Times New Roman"/>
          <w:b w:val="0"/>
          <w:i/>
          <w:sz w:val="20"/>
        </w:rPr>
        <w:t xml:space="preserve">Note. </w:t>
      </w:r>
      <w:r>
        <w:rPr>
          <w:rFonts w:ascii="Times New Roman" w:hAnsi="Times New Roman" w:cs="Times New Roman"/>
          <w:rFonts w:ascii="Times New Roman" w:hAnsi="Times New Roman"/>
          <w:b w:val="0"/>
          <w:i w:val="0"/>
          <w:sz w:val="20"/>
        </w:rPr>
        <w:t>All comparisons significant at p &lt; .05 after Bonferroni correction. r = rank-biserial correlation effect size. All effect sizes are large (|r| &gt; .50).</w:t>
      </w:r>
    </w:p>
    <w:p>
      <w:pPr>
        <w:spacing w:before="0" w:after="120" w:line="360" w:lineRule="auto"/>
        <w:ind w:firstLine="709"/>
        <w:jc w:val="both"/>
      </w:pPr>
      <w:r>
        <w:rPr>
          <w:rFonts w:ascii="Times New Roman" w:hAnsi="Times New Roman" w:cs="Times New Roman"/>
          <w:rFonts w:ascii="Times New Roman" w:hAnsi="Times New Roman"/>
          <w:b w:val="0"/>
          <w:i w:val="0"/>
          <w:sz w:val="24"/>
        </w:rPr>
        <w:t>When DISCERN scores were categorized, a clear quality gradient emerged. Among website items, 44.0% were rated as Good and 46.0% as Fair. YouTube content was predominantly Fair (48.0%) or Poor (46.0%). TikTok items were largely Poor (70.0%), with 14.0% rated Very Poor. Instagram exhibited the lowest quality distribution, with 60.0% of items rated Very Poor and 40.0% rated Poor (see Figure 1).</w:t>
      </w:r>
    </w:p>
    <w:p>
      <w:pPr>
        <w:spacing w:before="0" w:after="120" w:line="360" w:lineRule="auto"/>
        <w:ind w:firstLine="709"/>
        <w:jc w:val="both"/>
      </w:pPr>
      <w:r>
        <w:rPr>
          <w:rFonts w:ascii="Times New Roman" w:hAnsi="Times New Roman" w:cs="Times New Roman"/>
          <w:rFonts w:ascii="Times New Roman" w:hAnsi="Times New Roman"/>
          <w:b w:val="0"/>
          <w:i w:val="0"/>
          <w:sz w:val="24"/>
        </w:rPr>
        <w:t>Analysis of DISCERN subscales revealed parallel patterns. For Section 1 (reliability of the publication; items Q1–Q8), median scores were: Website = 26.00, YouTube = 22.00, TikTok = 18.00, and Instagram = 13.00. For Section 2 (quality of treatment choice information; items Q9–Q15), median scores were: Website = 19.00, YouTube = 14.00, TikTok = 12.00, and Instagram = 7.00. Both subscales thus exhibited the same rank ordering of platforms as the total score.</w:t>
      </w:r>
    </w:p>
    <w:p>
      <w:pPr>
        <w:spacing w:before="240" w:after="120" w:line="360" w:lineRule="auto"/>
        <w:jc w:val="left"/>
      </w:pPr>
      <w:r>
        <w:rPr>
          <w:rFonts w:ascii="Times New Roman" w:hAnsi="Times New Roman" w:cs="Times New Roman"/>
          <w:rFonts w:ascii="Times New Roman" w:hAnsi="Times New Roman"/>
          <w:b/>
          <w:i w:val="0"/>
          <w:sz w:val="24"/>
        </w:rPr>
        <w:t>3.4 JAMA Benchmark Compliance by Platform</w:t>
      </w:r>
    </w:p>
    <w:p>
      <w:pPr>
        <w:spacing w:before="0" w:after="120" w:line="360" w:lineRule="auto"/>
        <w:ind w:firstLine="709"/>
        <w:jc w:val="both"/>
      </w:pPr>
      <w:r>
        <w:rPr>
          <w:rFonts w:ascii="Times New Roman" w:hAnsi="Times New Roman" w:cs="Times New Roman"/>
          <w:rFonts w:ascii="Times New Roman" w:hAnsi="Times New Roman"/>
          <w:b w:val="0"/>
          <w:i w:val="0"/>
          <w:sz w:val="24"/>
        </w:rPr>
        <w:t>Overall JAMA benchmark compliance was low across all platforms. The mean JAMA total score (range 0–4) did not differ significantly across platforms, H(3) = 5.43, p = .143. Mean scores were: Website = 1.44, YouTube = 1.54, TikTok = 1.44, and Instagram = 1.20. However, analysis of individual JAMA criteria revealed significant platform differences for three of the four benchmarks. Table 4 presents the compliance rates for each criterion by platform.</w:t>
      </w:r>
    </w:p>
    <w:p>
      <w:pPr>
        <w:spacing w:before="240" w:after="0" w:line="360" w:lineRule="auto"/>
        <w:jc w:val="left"/>
      </w:pPr>
      <w:r>
        <w:rPr>
          <w:rFonts w:ascii="Times New Roman" w:hAnsi="Times New Roman" w:cs="Times New Roman"/>
          <w:rFonts w:ascii="Times New Roman" w:hAnsi="Times New Roman"/>
          <w:b/>
          <w:i w:val="0"/>
          <w:sz w:val="24"/>
        </w:rPr>
        <w:t>Table 4</w:t>
      </w:r>
    </w:p>
    <w:p>
      <w:pPr>
        <w:spacing w:before="0" w:after="120" w:line="360" w:lineRule="auto"/>
        <w:jc w:val="left"/>
      </w:pPr>
      <w:r>
        <w:rPr>
          <w:rFonts w:ascii="Times New Roman" w:hAnsi="Times New Roman" w:cs="Times New Roman"/>
          <w:rFonts w:ascii="Times New Roman" w:hAnsi="Times New Roman"/>
          <w:b w:val="0"/>
          <w:i/>
          <w:sz w:val="24"/>
        </w:rPr>
        <w:t>JAMA Benchmark Compliance by Platform</w:t>
      </w:r>
    </w:p>
    <w:tbl>
      <w:tblPr>
        <w:tblW w:type="auto" w:w="0"/>
        <w:jc w:val="center"/>
        <w:tblLayout w:type="autofit"/>
        <w:tblLook w:firstColumn="1" w:firstRow="1" w:lastColumn="0" w:lastRow="0" w:noHBand="0" w:noVBand="1" w:val="04A0"/>
        <w:tblBorders>
          <w:top w:val="single" w:sz="8" w:space="0" w:color="000000"/>
          <w:bottom w:val="single" w:sz="8" w:space="0" w:color="000000"/>
          <w:insideH w:val="none" w:sz="0" w:space="0" w:color="000000"/>
          <w:insideV w:val="none" w:sz="0" w:space="0" w:color="000000"/>
          <w:left w:val="none" w:sz="0" w:space="0" w:color="000000"/>
          <w:right w:val="none" w:sz="0" w:space="0" w:color="000000"/>
        </w:tblBorders>
      </w:tblPr>
      <w:tblGrid>
        <w:gridCol w:w="1289"/>
        <w:gridCol w:w="1289"/>
        <w:gridCol w:w="1289"/>
        <w:gridCol w:w="1289"/>
        <w:gridCol w:w="1289"/>
        <w:gridCol w:w="1289"/>
        <w:gridCol w:w="1289"/>
      </w:tblGrid>
      <w:tr>
        <w:tc>
          <w:tcPr>
            <w:tcW w:type="dxa" w:w="1728"/>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JAMA Criterion</w:t>
            </w:r>
          </w:p>
        </w:tc>
        <w:tc>
          <w:tcPr>
            <w:tcW w:type="dxa" w:w="1296"/>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Website</w:t>
              <w:br/>
              <w:t>% (n)</w:t>
            </w:r>
          </w:p>
        </w:tc>
        <w:tc>
          <w:tcPr>
            <w:tcW w:type="dxa" w:w="1296"/>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YouTube</w:t>
              <w:br/>
              <w:t>% (n)</w:t>
            </w:r>
          </w:p>
        </w:tc>
        <w:tc>
          <w:tcPr>
            <w:tcW w:type="dxa" w:w="1296"/>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TikTok</w:t>
              <w:br/>
              <w:t>% (n)</w:t>
            </w:r>
          </w:p>
        </w:tc>
        <w:tc>
          <w:tcPr>
            <w:tcW w:type="dxa" w:w="1440"/>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Instagram</w:t>
              <w:br/>
              <w:t>% (n)</w:t>
            </w:r>
          </w:p>
        </w:tc>
        <w:tc>
          <w:tcPr>
            <w:tcW w:type="dxa" w:w="864"/>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χ²</w:t>
            </w:r>
          </w:p>
        </w:tc>
        <w:tc>
          <w:tcPr>
            <w:tcW w:type="dxa" w:w="1008"/>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p</w:t>
            </w:r>
          </w:p>
        </w:tc>
      </w:tr>
      <w:tr>
        <w:tc>
          <w:tcPr>
            <w:tcW w:type="dxa" w:w="1728"/>
          </w:tcPr>
          <w:p>
            <w:pPr>
              <w:spacing w:before="20" w:after="20" w:line="276" w:lineRule="auto"/>
              <w:jc w:val="left"/>
            </w:pPr>
            <w:r/>
            <w:r>
              <w:rPr>
                <w:rFonts w:ascii="Times New Roman" w:hAnsi="Times New Roman" w:cs="Times New Roman"/>
                <w:rFonts w:ascii="Times New Roman" w:hAnsi="Times New Roman"/>
                <w:b w:val="0"/>
                <w:i w:val="0"/>
                <w:sz w:val="20"/>
              </w:rPr>
              <w:t>Authorship</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30 (15)</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38 (19)</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30 (15)</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16 (8)</w:t>
            </w:r>
          </w:p>
        </w:tc>
        <w:tc>
          <w:tcPr>
            <w:tcW w:type="dxa" w:w="864"/>
          </w:tcPr>
          <w:p>
            <w:pPr>
              <w:spacing w:before="20" w:after="20" w:line="276" w:lineRule="auto"/>
              <w:jc w:val="center"/>
            </w:pPr>
            <w:r/>
            <w:r>
              <w:rPr>
                <w:rFonts w:ascii="Times New Roman" w:hAnsi="Times New Roman" w:cs="Times New Roman"/>
                <w:rFonts w:ascii="Times New Roman" w:hAnsi="Times New Roman"/>
                <w:b w:val="0"/>
                <w:i w:val="0"/>
                <w:sz w:val="20"/>
              </w:rPr>
              <w:t>6.16</w:t>
            </w:r>
          </w:p>
        </w:tc>
        <w:tc>
          <w:tcPr>
            <w:tcW w:type="dxa" w:w="1008"/>
          </w:tcPr>
          <w:p>
            <w:pPr>
              <w:spacing w:before="20" w:after="20" w:line="276" w:lineRule="auto"/>
              <w:jc w:val="center"/>
            </w:pPr>
            <w:r/>
            <w:r>
              <w:rPr>
                <w:rFonts w:ascii="Times New Roman" w:hAnsi="Times New Roman" w:cs="Times New Roman"/>
                <w:rFonts w:ascii="Times New Roman" w:hAnsi="Times New Roman"/>
                <w:b w:val="0"/>
                <w:i w:val="0"/>
                <w:sz w:val="20"/>
              </w:rPr>
              <w:t>.104</w:t>
            </w:r>
          </w:p>
        </w:tc>
      </w:tr>
      <w:tr>
        <w:tc>
          <w:tcPr>
            <w:tcW w:type="dxa" w:w="1728"/>
          </w:tcPr>
          <w:p>
            <w:pPr>
              <w:spacing w:before="20" w:after="20" w:line="276" w:lineRule="auto"/>
              <w:jc w:val="left"/>
            </w:pPr>
            <w:r/>
            <w:r>
              <w:rPr>
                <w:rFonts w:ascii="Times New Roman" w:hAnsi="Times New Roman" w:cs="Times New Roman"/>
                <w:rFonts w:ascii="Times New Roman" w:hAnsi="Times New Roman"/>
                <w:b w:val="0"/>
                <w:i w:val="0"/>
                <w:sz w:val="20"/>
              </w:rPr>
              <w:t>Attribution</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30 (15)</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16 (8)</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0 (0)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4 (2)</w:t>
            </w:r>
          </w:p>
        </w:tc>
        <w:tc>
          <w:tcPr>
            <w:tcW w:type="dxa" w:w="864"/>
          </w:tcPr>
          <w:p>
            <w:pPr>
              <w:spacing w:before="20" w:after="20" w:line="276" w:lineRule="auto"/>
              <w:jc w:val="center"/>
            </w:pPr>
            <w:r/>
            <w:r>
              <w:rPr>
                <w:rFonts w:ascii="Times New Roman" w:hAnsi="Times New Roman" w:cs="Times New Roman"/>
                <w:rFonts w:ascii="Times New Roman" w:hAnsi="Times New Roman"/>
                <w:b w:val="0"/>
                <w:i w:val="0"/>
                <w:sz w:val="20"/>
              </w:rPr>
              <w:t>25.01</w:t>
            </w:r>
          </w:p>
        </w:tc>
        <w:tc>
          <w:tcPr>
            <w:tcW w:type="dxa" w:w="1008"/>
          </w:tcPr>
          <w:p>
            <w:pPr>
              <w:spacing w:before="20" w:after="20" w:line="276" w:lineRule="auto"/>
              <w:jc w:val="center"/>
            </w:pPr>
            <w:r/>
            <w:r>
              <w:rPr>
                <w:rFonts w:ascii="Times New Roman" w:hAnsi="Times New Roman" w:cs="Times New Roman"/>
                <w:rFonts w:ascii="Times New Roman" w:hAnsi="Times New Roman"/>
                <w:b w:val="0"/>
                <w:i w:val="0"/>
                <w:sz w:val="20"/>
              </w:rPr>
              <w:t>&lt; .001</w:t>
            </w:r>
          </w:p>
        </w:tc>
      </w:tr>
      <w:tr>
        <w:tc>
          <w:tcPr>
            <w:tcW w:type="dxa" w:w="1728"/>
          </w:tcPr>
          <w:p>
            <w:pPr>
              <w:spacing w:before="20" w:after="20" w:line="276" w:lineRule="auto"/>
              <w:jc w:val="left"/>
            </w:pPr>
            <w:r/>
            <w:r>
              <w:rPr>
                <w:rFonts w:ascii="Times New Roman" w:hAnsi="Times New Roman" w:cs="Times New Roman"/>
                <w:rFonts w:ascii="Times New Roman" w:hAnsi="Times New Roman"/>
                <w:b w:val="0"/>
                <w:i w:val="0"/>
                <w:sz w:val="20"/>
              </w:rPr>
              <w:t>Disclosure</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16 (8)</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0 (0)</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14 (7)</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0 (0)</w:t>
            </w:r>
          </w:p>
        </w:tc>
        <w:tc>
          <w:tcPr>
            <w:tcW w:type="dxa" w:w="864"/>
          </w:tcPr>
          <w:p>
            <w:pPr>
              <w:spacing w:before="20" w:after="20" w:line="276" w:lineRule="auto"/>
              <w:jc w:val="center"/>
            </w:pPr>
            <w:r/>
            <w:r>
              <w:rPr>
                <w:rFonts w:ascii="Times New Roman" w:hAnsi="Times New Roman" w:cs="Times New Roman"/>
                <w:rFonts w:ascii="Times New Roman" w:hAnsi="Times New Roman"/>
                <w:b w:val="0"/>
                <w:i w:val="0"/>
                <w:sz w:val="20"/>
              </w:rPr>
              <w:t>16.36</w:t>
            </w:r>
          </w:p>
        </w:tc>
        <w:tc>
          <w:tcPr>
            <w:tcW w:type="dxa" w:w="1008"/>
          </w:tcPr>
          <w:p>
            <w:pPr>
              <w:spacing w:before="20" w:after="20" w:line="276" w:lineRule="auto"/>
              <w:jc w:val="center"/>
            </w:pPr>
            <w:r/>
            <w:r>
              <w:rPr>
                <w:rFonts w:ascii="Times New Roman" w:hAnsi="Times New Roman" w:cs="Times New Roman"/>
                <w:rFonts w:ascii="Times New Roman" w:hAnsi="Times New Roman"/>
                <w:b w:val="0"/>
                <w:i w:val="0"/>
                <w:sz w:val="20"/>
              </w:rPr>
              <w:t>.001</w:t>
            </w:r>
          </w:p>
        </w:tc>
      </w:tr>
      <w:tr>
        <w:tc>
          <w:tcPr>
            <w:tcW w:type="dxa" w:w="1728"/>
          </w:tcPr>
          <w:p>
            <w:pPr>
              <w:spacing w:before="20" w:after="20" w:line="276" w:lineRule="auto"/>
              <w:jc w:val="left"/>
            </w:pPr>
            <w:r/>
            <w:r>
              <w:rPr>
                <w:rFonts w:ascii="Times New Roman" w:hAnsi="Times New Roman" w:cs="Times New Roman"/>
                <w:rFonts w:ascii="Times New Roman" w:hAnsi="Times New Roman"/>
                <w:b w:val="0"/>
                <w:i w:val="0"/>
                <w:sz w:val="20"/>
              </w:rPr>
              <w:t>Currency</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68 (34)</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100 (50)</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100 (50)</w:t>
            </w:r>
          </w:p>
        </w:tc>
        <w:tc>
          <w:tcPr>
            <w:tcW w:type="dxa" w:w="1440"/>
          </w:tcPr>
          <w:p>
            <w:pPr>
              <w:spacing w:before="20" w:after="20" w:line="276" w:lineRule="auto"/>
              <w:jc w:val="center"/>
            </w:pPr>
            <w:r/>
            <w:r>
              <w:rPr>
                <w:rFonts w:ascii="Times New Roman" w:hAnsi="Times New Roman" w:cs="Times New Roman"/>
                <w:rFonts w:ascii="Times New Roman" w:hAnsi="Times New Roman"/>
                <w:b w:val="0"/>
                <w:i w:val="0"/>
                <w:sz w:val="20"/>
              </w:rPr>
              <w:t>100 (50)</w:t>
            </w:r>
          </w:p>
        </w:tc>
        <w:tc>
          <w:tcPr>
            <w:tcW w:type="dxa" w:w="864"/>
          </w:tcPr>
          <w:p>
            <w:pPr>
              <w:spacing w:before="20" w:after="20" w:line="276" w:lineRule="auto"/>
              <w:jc w:val="center"/>
            </w:pPr>
            <w:r/>
            <w:r>
              <w:rPr>
                <w:rFonts w:ascii="Times New Roman" w:hAnsi="Times New Roman" w:cs="Times New Roman"/>
                <w:rFonts w:ascii="Times New Roman" w:hAnsi="Times New Roman"/>
                <w:b w:val="0"/>
                <w:i w:val="0"/>
                <w:sz w:val="20"/>
              </w:rPr>
              <w:t>52.17</w:t>
            </w:r>
          </w:p>
        </w:tc>
        <w:tc>
          <w:tcPr>
            <w:tcW w:type="dxa" w:w="1008"/>
          </w:tcPr>
          <w:p>
            <w:pPr>
              <w:spacing w:before="20" w:after="20" w:line="276" w:lineRule="auto"/>
              <w:jc w:val="center"/>
            </w:pPr>
            <w:r/>
            <w:r>
              <w:rPr>
                <w:rFonts w:ascii="Times New Roman" w:hAnsi="Times New Roman" w:cs="Times New Roman"/>
                <w:rFonts w:ascii="Times New Roman" w:hAnsi="Times New Roman"/>
                <w:b w:val="0"/>
                <w:i w:val="0"/>
                <w:sz w:val="20"/>
              </w:rPr>
              <w:t>&lt; .001</w:t>
            </w:r>
          </w:p>
        </w:tc>
      </w:tr>
    </w:tbl>
    <w:p>
      <w:pPr>
        <w:spacing w:before="0" w:after="240" w:line="360" w:lineRule="auto"/>
        <w:jc w:val="left"/>
      </w:pPr>
      <w:r>
        <w:rPr>
          <w:rFonts w:ascii="Times New Roman" w:hAnsi="Times New Roman" w:cs="Times New Roman"/>
          <w:rFonts w:ascii="Times New Roman" w:hAnsi="Times New Roman"/>
          <w:b w:val="0"/>
          <w:i/>
          <w:sz w:val="20"/>
        </w:rPr>
        <w:t xml:space="preserve">Note. </w:t>
      </w:r>
      <w:r>
        <w:rPr>
          <w:rFonts w:ascii="Times New Roman" w:hAnsi="Times New Roman" w:cs="Times New Roman"/>
          <w:rFonts w:ascii="Times New Roman" w:hAnsi="Times New Roman"/>
          <w:b w:val="0"/>
          <w:i w:val="0"/>
          <w:sz w:val="20"/>
        </w:rPr>
        <w:t>Values are % (n). Chi-square tests with df = 3. Bold p values indicate statistical significance at p &lt; .05.</w:t>
      </w:r>
    </w:p>
    <w:p>
      <w:pPr>
        <w:spacing w:before="0" w:after="120" w:line="360" w:lineRule="auto"/>
        <w:ind w:firstLine="709"/>
        <w:jc w:val="both"/>
      </w:pPr>
      <w:r>
        <w:rPr>
          <w:rFonts w:ascii="Times New Roman" w:hAnsi="Times New Roman" w:cs="Times New Roman"/>
          <w:rFonts w:ascii="Times New Roman" w:hAnsi="Times New Roman"/>
          <w:b w:val="0"/>
          <w:i w:val="0"/>
          <w:sz w:val="24"/>
        </w:rPr>
        <w:t>Authorship identification did not differ significantly across platforms, χ²(3) = 6.16, p = .104, with compliance rates ranging from 16.0% (Instagram) to 38.0% (YouTube). Attribution of sources differed significantly, χ²(3) = 25.01, p &lt; .001, with websites demonstrating the highest rate (30.0%) and TikTok the lowest (0.0%). Disclosure of conflicts of interest also differed significantly, χ²(3) = 16.36, p = .001, with no YouTube or Instagram items meeting this criterion. Currency compliance differed significantly, χ²(3) = 52.17, p &lt; .001, driven by the lower rate for websites (68.0%) relative to all three social media platforms (100.0% each), where post dates are automatically displayed.</w:t>
      </w:r>
    </w:p>
    <w:p>
      <w:pPr>
        <w:spacing w:before="240" w:after="120" w:line="360" w:lineRule="auto"/>
        <w:jc w:val="left"/>
      </w:pPr>
      <w:r>
        <w:rPr>
          <w:rFonts w:ascii="Times New Roman" w:hAnsi="Times New Roman" w:cs="Times New Roman"/>
          <w:rFonts w:ascii="Times New Roman" w:hAnsi="Times New Roman"/>
          <w:b/>
          <w:i w:val="0"/>
          <w:sz w:val="24"/>
        </w:rPr>
        <w:t>3.5 Creator Type Analysis</w:t>
      </w:r>
    </w:p>
    <w:p>
      <w:pPr>
        <w:spacing w:before="0" w:after="120" w:line="360" w:lineRule="auto"/>
        <w:ind w:firstLine="709"/>
        <w:jc w:val="both"/>
      </w:pPr>
      <w:r>
        <w:rPr>
          <w:rFonts w:ascii="Times New Roman" w:hAnsi="Times New Roman" w:cs="Times New Roman"/>
          <w:rFonts w:ascii="Times New Roman" w:hAnsi="Times New Roman"/>
          <w:b w:val="0"/>
          <w:i w:val="0"/>
          <w:sz w:val="24"/>
        </w:rPr>
        <w:t>Research Question 2 examined whether creator type moderates information quality scores. Creators were classified as professionals (healthcare professionals and certified fitness professionals, n = 48) or non-professionals (fitness influencers, general users, and organizations, n = 152).</w:t>
      </w:r>
    </w:p>
    <w:p>
      <w:pPr>
        <w:spacing w:before="0" w:after="120" w:line="360" w:lineRule="auto"/>
        <w:ind w:firstLine="709"/>
        <w:jc w:val="both"/>
      </w:pPr>
      <w:r>
        <w:rPr>
          <w:rFonts w:ascii="Times New Roman" w:hAnsi="Times New Roman" w:cs="Times New Roman"/>
          <w:rFonts w:ascii="Times New Roman" w:hAnsi="Times New Roman"/>
          <w:b w:val="0"/>
          <w:i w:val="0"/>
          <w:sz w:val="24"/>
        </w:rPr>
        <w:t>Professional creators produced content with significantly higher DISCERN scores (Mdn = 39.50) compared to non-professional creators (Mdn = 35.00), U = 4,392, p = .033, r = −0.204, representing a small effect size. When examined by individual creator type, a Kruskal-Wallis test confirmed significant differences, H(4) = 19.25, p &lt; .001. Certified fitness professionals achieved the highest median score (Mdn = 41.00), followed by organizations (Mdn = 40.00), healthcare professionals (Mdn = 37.50), fitness influencers (Mdn = 35.00), and general users (Mdn = 28.50). Table 5 presents the full breakdown.</w:t>
      </w:r>
    </w:p>
    <w:p>
      <w:pPr>
        <w:spacing w:before="240" w:after="0" w:line="360" w:lineRule="auto"/>
        <w:jc w:val="left"/>
      </w:pPr>
      <w:r>
        <w:rPr>
          <w:rFonts w:ascii="Times New Roman" w:hAnsi="Times New Roman" w:cs="Times New Roman"/>
          <w:rFonts w:ascii="Times New Roman" w:hAnsi="Times New Roman"/>
          <w:b/>
          <w:i w:val="0"/>
          <w:sz w:val="24"/>
        </w:rPr>
        <w:t>Table 5</w:t>
      </w:r>
    </w:p>
    <w:p>
      <w:pPr>
        <w:spacing w:before="0" w:after="120" w:line="360" w:lineRule="auto"/>
        <w:jc w:val="left"/>
      </w:pPr>
      <w:r>
        <w:rPr>
          <w:rFonts w:ascii="Times New Roman" w:hAnsi="Times New Roman" w:cs="Times New Roman"/>
          <w:rFonts w:ascii="Times New Roman" w:hAnsi="Times New Roman"/>
          <w:b w:val="0"/>
          <w:i/>
          <w:sz w:val="24"/>
        </w:rPr>
        <w:t>DISCERN Total Scores and JAMA Compliance by Creator Type</w:t>
      </w:r>
    </w:p>
    <w:tbl>
      <w:tblPr>
        <w:tblW w:type="auto" w:w="0"/>
        <w:jc w:val="center"/>
        <w:tblLayout w:type="autofit"/>
        <w:tblLook w:firstColumn="1" w:firstRow="1" w:lastColumn="0" w:lastRow="0" w:noHBand="0" w:noVBand="1" w:val="04A0"/>
        <w:tblBorders>
          <w:top w:val="single" w:sz="8" w:space="0" w:color="000000"/>
          <w:bottom w:val="single" w:sz="8" w:space="0" w:color="000000"/>
          <w:insideH w:val="none" w:sz="0" w:space="0" w:color="000000"/>
          <w:insideV w:val="none" w:sz="0" w:space="0" w:color="000000"/>
          <w:left w:val="none" w:sz="0" w:space="0" w:color="000000"/>
          <w:right w:val="none" w:sz="0" w:space="0" w:color="000000"/>
        </w:tblBorders>
      </w:tblPr>
      <w:tblGrid>
        <w:gridCol w:w="1805"/>
        <w:gridCol w:w="1805"/>
        <w:gridCol w:w="1805"/>
        <w:gridCol w:w="1805"/>
        <w:gridCol w:w="1805"/>
      </w:tblGrid>
      <w:tr>
        <w:tc>
          <w:tcPr>
            <w:tcW w:type="dxa" w:w="2592"/>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Creator type</w:t>
            </w:r>
          </w:p>
        </w:tc>
        <w:tc>
          <w:tcPr>
            <w:tcW w:type="dxa" w:w="720"/>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n</w:t>
            </w:r>
          </w:p>
        </w:tc>
        <w:tc>
          <w:tcPr>
            <w:tcW w:type="dxa" w:w="1584"/>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DISCERN Mdn</w:t>
            </w:r>
          </w:p>
        </w:tc>
        <w:tc>
          <w:tcPr>
            <w:tcW w:type="dxa" w:w="1584"/>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DISCERN IQR</w:t>
            </w:r>
          </w:p>
        </w:tc>
        <w:tc>
          <w:tcPr>
            <w:tcW w:type="dxa" w:w="1296"/>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JAMA Mdn</w:t>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Professional</w:t>
            </w:r>
          </w:p>
        </w:tc>
        <w:tc>
          <w:tcPr>
            <w:tcW w:type="dxa" w:w="720"/>
          </w:tcPr>
          <w:p>
            <w:pPr>
              <w:spacing w:before="20" w:after="20" w:line="276" w:lineRule="auto"/>
              <w:jc w:val="center"/>
            </w:pPr>
            <w:r/>
            <w:r>
              <w:rPr>
                <w:rFonts w:ascii="Times New Roman" w:hAnsi="Times New Roman" w:cs="Times New Roman"/>
                <w:rFonts w:ascii="Times New Roman" w:hAnsi="Times New Roman"/>
                <w:b w:val="0"/>
                <w:i w:val="0"/>
                <w:sz w:val="20"/>
              </w:rPr>
              <w:t>48</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39.50</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2.00</w:t>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 xml:space="preserve">  Healthcare professional</w:t>
            </w:r>
          </w:p>
        </w:tc>
        <w:tc>
          <w:tcPr>
            <w:tcW w:type="dxa" w:w="720"/>
          </w:tcPr>
          <w:p>
            <w:pPr>
              <w:spacing w:before="20" w:after="20" w:line="276" w:lineRule="auto"/>
              <w:jc w:val="center"/>
            </w:pPr>
            <w:r/>
            <w:r>
              <w:rPr>
                <w:rFonts w:ascii="Times New Roman" w:hAnsi="Times New Roman" w:cs="Times New Roman"/>
                <w:rFonts w:ascii="Times New Roman" w:hAnsi="Times New Roman"/>
                <w:b w:val="0"/>
                <w:i w:val="0"/>
                <w:sz w:val="20"/>
              </w:rPr>
              <w:t>14</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37.50</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w:t>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 xml:space="preserve">  Certified fitness prof.</w:t>
            </w:r>
          </w:p>
        </w:tc>
        <w:tc>
          <w:tcPr>
            <w:tcW w:type="dxa" w:w="720"/>
          </w:tcPr>
          <w:p>
            <w:pPr>
              <w:spacing w:before="20" w:after="20" w:line="276" w:lineRule="auto"/>
              <w:jc w:val="center"/>
            </w:pPr>
            <w:r/>
            <w:r>
              <w:rPr>
                <w:rFonts w:ascii="Times New Roman" w:hAnsi="Times New Roman" w:cs="Times New Roman"/>
                <w:rFonts w:ascii="Times New Roman" w:hAnsi="Times New Roman"/>
                <w:b w:val="0"/>
                <w:i w:val="0"/>
                <w:sz w:val="20"/>
              </w:rPr>
              <w:t>34</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41.00</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w:t>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Non-professional</w:t>
            </w:r>
          </w:p>
        </w:tc>
        <w:tc>
          <w:tcPr>
            <w:tcW w:type="dxa" w:w="720"/>
          </w:tcPr>
          <w:p>
            <w:pPr>
              <w:spacing w:before="20" w:after="20" w:line="276" w:lineRule="auto"/>
              <w:jc w:val="center"/>
            </w:pPr>
            <w:r/>
            <w:r>
              <w:rPr>
                <w:rFonts w:ascii="Times New Roman" w:hAnsi="Times New Roman" w:cs="Times New Roman"/>
                <w:rFonts w:ascii="Times New Roman" w:hAnsi="Times New Roman"/>
                <w:b w:val="0"/>
                <w:i w:val="0"/>
                <w:sz w:val="20"/>
              </w:rPr>
              <w:t>152</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35.00</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1.00</w:t>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 xml:space="preserve">  Organization</w:t>
            </w:r>
          </w:p>
        </w:tc>
        <w:tc>
          <w:tcPr>
            <w:tcW w:type="dxa" w:w="720"/>
          </w:tcPr>
          <w:p>
            <w:pPr>
              <w:spacing w:before="20" w:after="20" w:line="276" w:lineRule="auto"/>
              <w:jc w:val="center"/>
            </w:pPr>
            <w:r/>
            <w:r>
              <w:rPr>
                <w:rFonts w:ascii="Times New Roman" w:hAnsi="Times New Roman" w:cs="Times New Roman"/>
                <w:rFonts w:ascii="Times New Roman" w:hAnsi="Times New Roman"/>
                <w:b w:val="0"/>
                <w:i w:val="0"/>
                <w:sz w:val="20"/>
              </w:rPr>
              <w:t>85</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40.00</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w:t>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 xml:space="preserve">  Fitness influencer</w:t>
            </w:r>
          </w:p>
        </w:tc>
        <w:tc>
          <w:tcPr>
            <w:tcW w:type="dxa" w:w="720"/>
          </w:tcPr>
          <w:p>
            <w:pPr>
              <w:spacing w:before="20" w:after="20" w:line="276" w:lineRule="auto"/>
              <w:jc w:val="center"/>
            </w:pPr>
            <w:r/>
            <w:r>
              <w:rPr>
                <w:rFonts w:ascii="Times New Roman" w:hAnsi="Times New Roman" w:cs="Times New Roman"/>
                <w:rFonts w:ascii="Times New Roman" w:hAnsi="Times New Roman"/>
                <w:b w:val="0"/>
                <w:i w:val="0"/>
                <w:sz w:val="20"/>
              </w:rPr>
              <w:t>43</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35.00</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w:t>
            </w:r>
          </w:p>
        </w:tc>
      </w:tr>
      <w:tr>
        <w:tc>
          <w:tcPr>
            <w:tcW w:type="dxa" w:w="2592"/>
          </w:tcPr>
          <w:p>
            <w:pPr>
              <w:spacing w:before="20" w:after="20" w:line="276" w:lineRule="auto"/>
              <w:jc w:val="left"/>
            </w:pPr>
            <w:r/>
            <w:r>
              <w:rPr>
                <w:rFonts w:ascii="Times New Roman" w:hAnsi="Times New Roman" w:cs="Times New Roman"/>
                <w:rFonts w:ascii="Times New Roman" w:hAnsi="Times New Roman"/>
                <w:b w:val="0"/>
                <w:i w:val="0"/>
                <w:sz w:val="20"/>
              </w:rPr>
              <w:t xml:space="preserve">  General user</w:t>
            </w:r>
          </w:p>
        </w:tc>
        <w:tc>
          <w:tcPr>
            <w:tcW w:type="dxa" w:w="720"/>
          </w:tcPr>
          <w:p>
            <w:pPr>
              <w:spacing w:before="20" w:after="20" w:line="276" w:lineRule="auto"/>
              <w:jc w:val="center"/>
            </w:pPr>
            <w:r/>
            <w:r>
              <w:rPr>
                <w:rFonts w:ascii="Times New Roman" w:hAnsi="Times New Roman" w:cs="Times New Roman"/>
                <w:rFonts w:ascii="Times New Roman" w:hAnsi="Times New Roman"/>
                <w:b w:val="0"/>
                <w:i w:val="0"/>
                <w:sz w:val="20"/>
              </w:rPr>
              <w:t>24</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28.50</w:t>
            </w:r>
          </w:p>
        </w:tc>
        <w:tc>
          <w:tcPr>
            <w:tcW w:type="dxa" w:w="1584"/>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296"/>
          </w:tcPr>
          <w:p>
            <w:pPr>
              <w:spacing w:before="20" w:after="20" w:line="276" w:lineRule="auto"/>
              <w:jc w:val="center"/>
            </w:pPr>
            <w:r/>
            <w:r>
              <w:rPr>
                <w:rFonts w:ascii="Times New Roman" w:hAnsi="Times New Roman" w:cs="Times New Roman"/>
                <w:rFonts w:ascii="Times New Roman" w:hAnsi="Times New Roman"/>
                <w:b w:val="0"/>
                <w:i w:val="0"/>
                <w:sz w:val="20"/>
              </w:rPr>
              <w:t>—</w:t>
            </w:r>
          </w:p>
        </w:tc>
      </w:tr>
    </w:tbl>
    <w:p>
      <w:pPr>
        <w:spacing w:before="0" w:after="240" w:line="360" w:lineRule="auto"/>
        <w:jc w:val="left"/>
      </w:pPr>
      <w:r>
        <w:rPr>
          <w:rFonts w:ascii="Times New Roman" w:hAnsi="Times New Roman" w:cs="Times New Roman"/>
          <w:rFonts w:ascii="Times New Roman" w:hAnsi="Times New Roman"/>
          <w:b w:val="0"/>
          <w:i/>
          <w:sz w:val="20"/>
        </w:rPr>
        <w:t xml:space="preserve">Note. </w:t>
      </w:r>
      <w:r>
        <w:rPr>
          <w:rFonts w:ascii="Times New Roman" w:hAnsi="Times New Roman" w:cs="Times New Roman"/>
          <w:rFonts w:ascii="Times New Roman" w:hAnsi="Times New Roman"/>
          <w:b w:val="0"/>
          <w:i w:val="0"/>
          <w:sz w:val="20"/>
        </w:rPr>
        <w:t>Professional vs. non-professional DISCERN comparison: U = 4,392, p = .033, r = −0.204. JAMA comparison: p &lt; .001.</w:t>
      </w:r>
    </w:p>
    <w:p>
      <w:pPr>
        <w:spacing w:before="0" w:after="120" w:line="360" w:lineRule="auto"/>
        <w:ind w:firstLine="709"/>
        <w:jc w:val="both"/>
      </w:pPr>
      <w:r>
        <w:rPr>
          <w:rFonts w:ascii="Times New Roman" w:hAnsi="Times New Roman" w:cs="Times New Roman"/>
          <w:rFonts w:ascii="Times New Roman" w:hAnsi="Times New Roman"/>
          <w:b w:val="0"/>
          <w:i w:val="0"/>
          <w:sz w:val="24"/>
        </w:rPr>
        <w:t>Professional creators also demonstrated significantly higher JAMA benchmark compliance (Mdn = 2.00) compared to non-professional creators (Mdn = 1.00), p &lt; .001. This pattern was consistent across platforms, though the small number of professional creators on some platforms limits subgroup analysis.</w:t>
      </w:r>
    </w:p>
    <w:p>
      <w:pPr>
        <w:spacing w:before="240" w:after="120" w:line="360" w:lineRule="auto"/>
        <w:jc w:val="left"/>
      </w:pPr>
      <w:r>
        <w:rPr>
          <w:rFonts w:ascii="Times New Roman" w:hAnsi="Times New Roman" w:cs="Times New Roman"/>
          <w:rFonts w:ascii="Times New Roman" w:hAnsi="Times New Roman"/>
          <w:b/>
          <w:i w:val="0"/>
          <w:sz w:val="24"/>
        </w:rPr>
        <w:t>3.6 Engagement-Quality Relationship</w:t>
      </w:r>
    </w:p>
    <w:p>
      <w:pPr>
        <w:spacing w:before="0" w:after="120" w:line="360" w:lineRule="auto"/>
        <w:ind w:firstLine="709"/>
        <w:jc w:val="both"/>
      </w:pPr>
      <w:r>
        <w:rPr>
          <w:rFonts w:ascii="Times New Roman" w:hAnsi="Times New Roman" w:cs="Times New Roman"/>
          <w:rFonts w:ascii="Times New Roman" w:hAnsi="Times New Roman"/>
          <w:b w:val="0"/>
          <w:i w:val="0"/>
          <w:sz w:val="24"/>
        </w:rPr>
        <w:t>Research Question 3 investigated the relationship between engagement metrics and information quality. Spearman’s rank correlations were computed between DISCERN total scores and three engagement indicators (views, likes, and comments) across the social media platforms. Table 6 presents the correlation matrix.</w:t>
      </w:r>
    </w:p>
    <w:p>
      <w:pPr>
        <w:spacing w:before="240" w:after="0" w:line="360" w:lineRule="auto"/>
        <w:jc w:val="left"/>
      </w:pPr>
      <w:r>
        <w:rPr>
          <w:rFonts w:ascii="Times New Roman" w:hAnsi="Times New Roman" w:cs="Times New Roman"/>
          <w:rFonts w:ascii="Times New Roman" w:hAnsi="Times New Roman"/>
          <w:b/>
          <w:i w:val="0"/>
          <w:sz w:val="24"/>
        </w:rPr>
        <w:t>Table 6</w:t>
      </w:r>
    </w:p>
    <w:p>
      <w:pPr>
        <w:spacing w:before="0" w:after="120" w:line="360" w:lineRule="auto"/>
        <w:jc w:val="left"/>
      </w:pPr>
      <w:r>
        <w:rPr>
          <w:rFonts w:ascii="Times New Roman" w:hAnsi="Times New Roman" w:cs="Times New Roman"/>
          <w:rFonts w:ascii="Times New Roman" w:hAnsi="Times New Roman"/>
          <w:b w:val="0"/>
          <w:i/>
          <w:sz w:val="24"/>
        </w:rPr>
        <w:t>Spearman’s Correlations Between Engagement Metrics and DISCERN Scores</w:t>
      </w:r>
    </w:p>
    <w:tbl>
      <w:tblPr>
        <w:tblW w:type="auto" w:w="0"/>
        <w:jc w:val="center"/>
        <w:tblLayout w:type="autofit"/>
        <w:tblLook w:firstColumn="1" w:firstRow="1" w:lastColumn="0" w:lastRow="0" w:noHBand="0" w:noVBand="1" w:val="04A0"/>
        <w:tblBorders>
          <w:top w:val="single" w:sz="8" w:space="0" w:color="000000"/>
          <w:bottom w:val="single" w:sz="8" w:space="0" w:color="000000"/>
          <w:insideH w:val="none" w:sz="0" w:space="0" w:color="000000"/>
          <w:insideV w:val="none" w:sz="0" w:space="0" w:color="000000"/>
          <w:left w:val="none" w:sz="0" w:space="0" w:color="000000"/>
          <w:right w:val="none" w:sz="0" w:space="0" w:color="000000"/>
        </w:tblBorders>
      </w:tblPr>
      <w:tblGrid>
        <w:gridCol w:w="1003"/>
        <w:gridCol w:w="1003"/>
        <w:gridCol w:w="1003"/>
        <w:gridCol w:w="1003"/>
        <w:gridCol w:w="1003"/>
        <w:gridCol w:w="1003"/>
        <w:gridCol w:w="1003"/>
        <w:gridCol w:w="1003"/>
        <w:gridCol w:w="1003"/>
      </w:tblGrid>
      <w:tr>
        <w:tc>
          <w:tcPr>
            <w:tcW w:type="dxa" w:w="1152"/>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Metric</w:t>
            </w:r>
          </w:p>
        </w:tc>
        <w:tc>
          <w:tcPr>
            <w:tcW w:type="dxa" w:w="936"/>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Overall ρ</w:t>
            </w:r>
          </w:p>
        </w:tc>
        <w:tc>
          <w:tcPr>
            <w:tcW w:type="dxa" w:w="792"/>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p</w:t>
            </w:r>
          </w:p>
        </w:tc>
        <w:tc>
          <w:tcPr>
            <w:tcW w:type="dxa" w:w="1008"/>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YouTube ρ</w:t>
            </w:r>
          </w:p>
        </w:tc>
        <w:tc>
          <w:tcPr>
            <w:tcW w:type="dxa" w:w="792"/>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p</w:t>
            </w:r>
          </w:p>
        </w:tc>
        <w:tc>
          <w:tcPr>
            <w:tcW w:type="dxa" w:w="936"/>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TikTok ρ</w:t>
            </w:r>
          </w:p>
        </w:tc>
        <w:tc>
          <w:tcPr>
            <w:tcW w:type="dxa" w:w="792"/>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p</w:t>
            </w:r>
          </w:p>
        </w:tc>
        <w:tc>
          <w:tcPr>
            <w:tcW w:type="dxa" w:w="1080"/>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Instagram ρ</w:t>
            </w:r>
          </w:p>
        </w:tc>
        <w:tc>
          <w:tcPr>
            <w:tcW w:type="dxa" w:w="576"/>
            <w:tcBorders>
              <w:bottom w:val="single" w:sz="4" w:space="0" w:color="000000"/>
            </w:tcBorders>
          </w:tcPr>
          <w:p>
            <w:pPr>
              <w:spacing w:before="20" w:after="20" w:line="276" w:lineRule="auto"/>
              <w:jc w:val="center"/>
            </w:pPr>
            <w:r/>
            <w:r>
              <w:rPr>
                <w:rFonts w:ascii="Times New Roman" w:hAnsi="Times New Roman" w:cs="Times New Roman"/>
                <w:rFonts w:ascii="Times New Roman" w:hAnsi="Times New Roman"/>
                <w:b/>
                <w:i w:val="0"/>
                <w:sz w:val="20"/>
              </w:rPr>
              <w:t>p</w:t>
            </w:r>
          </w:p>
        </w:tc>
      </w:tr>
      <w:tr>
        <w:tc>
          <w:tcPr>
            <w:tcW w:type="dxa" w:w="1152"/>
          </w:tcPr>
          <w:p>
            <w:pPr>
              <w:spacing w:before="20" w:after="20" w:line="276" w:lineRule="auto"/>
              <w:jc w:val="left"/>
            </w:pPr>
            <w:r/>
            <w:r>
              <w:rPr>
                <w:rFonts w:ascii="Times New Roman" w:hAnsi="Times New Roman" w:cs="Times New Roman"/>
                <w:rFonts w:ascii="Times New Roman" w:hAnsi="Times New Roman"/>
                <w:b w:val="0"/>
                <w:i w:val="0"/>
                <w:sz w:val="20"/>
              </w:rPr>
              <w:t>Views</w:t>
            </w:r>
          </w:p>
        </w:tc>
        <w:tc>
          <w:tcPr>
            <w:tcW w:type="dxa" w:w="936"/>
          </w:tcPr>
          <w:p>
            <w:pPr>
              <w:spacing w:before="20" w:after="20" w:line="276" w:lineRule="auto"/>
              <w:jc w:val="center"/>
            </w:pPr>
            <w:r/>
            <w:r>
              <w:rPr>
                <w:rFonts w:ascii="Times New Roman" w:hAnsi="Times New Roman" w:cs="Times New Roman"/>
                <w:rFonts w:ascii="Times New Roman" w:hAnsi="Times New Roman"/>
                <w:b w:val="0"/>
                <w:i w:val="0"/>
                <w:sz w:val="20"/>
              </w:rPr>
              <w:t>0.017</w:t>
            </w:r>
          </w:p>
        </w:tc>
        <w:tc>
          <w:tcPr>
            <w:tcW w:type="dxa" w:w="792"/>
          </w:tcPr>
          <w:p>
            <w:pPr>
              <w:spacing w:before="20" w:after="20" w:line="276" w:lineRule="auto"/>
              <w:jc w:val="center"/>
            </w:pPr>
            <w:r/>
            <w:r>
              <w:rPr>
                <w:rFonts w:ascii="Times New Roman" w:hAnsi="Times New Roman" w:cs="Times New Roman"/>
                <w:rFonts w:ascii="Times New Roman" w:hAnsi="Times New Roman"/>
                <w:b w:val="0"/>
                <w:i w:val="0"/>
                <w:sz w:val="20"/>
              </w:rPr>
              <w:t>.894</w:t>
            </w:r>
          </w:p>
        </w:tc>
        <w:tc>
          <w:tcPr>
            <w:tcW w:type="dxa" w:w="1008"/>
          </w:tcPr>
          <w:p>
            <w:pPr>
              <w:spacing w:before="20" w:after="20" w:line="276" w:lineRule="auto"/>
              <w:jc w:val="center"/>
            </w:pPr>
            <w:r/>
            <w:r>
              <w:rPr>
                <w:rFonts w:ascii="Times New Roman" w:hAnsi="Times New Roman" w:cs="Times New Roman"/>
                <w:rFonts w:ascii="Times New Roman" w:hAnsi="Times New Roman"/>
                <w:b w:val="0"/>
                <w:i w:val="0"/>
                <w:sz w:val="20"/>
              </w:rPr>
              <w:t>−0.352</w:t>
            </w:r>
          </w:p>
        </w:tc>
        <w:tc>
          <w:tcPr>
            <w:tcW w:type="dxa" w:w="792"/>
          </w:tcPr>
          <w:p>
            <w:pPr>
              <w:spacing w:before="20" w:after="20" w:line="276" w:lineRule="auto"/>
              <w:jc w:val="center"/>
            </w:pPr>
            <w:r/>
            <w:r>
              <w:rPr>
                <w:rFonts w:ascii="Times New Roman" w:hAnsi="Times New Roman" w:cs="Times New Roman"/>
                <w:rFonts w:ascii="Times New Roman" w:hAnsi="Times New Roman"/>
                <w:b w:val="0"/>
                <w:i w:val="0"/>
                <w:sz w:val="20"/>
              </w:rPr>
              <w:t>.018</w:t>
            </w:r>
          </w:p>
        </w:tc>
        <w:tc>
          <w:tcPr>
            <w:tcW w:type="dxa" w:w="936"/>
          </w:tcPr>
          <w:p>
            <w:pPr>
              <w:spacing w:before="20" w:after="20" w:line="276" w:lineRule="auto"/>
              <w:jc w:val="center"/>
            </w:pPr>
            <w:r/>
            <w:r>
              <w:rPr>
                <w:rFonts w:ascii="Times New Roman" w:hAnsi="Times New Roman" w:cs="Times New Roman"/>
                <w:rFonts w:ascii="Times New Roman" w:hAnsi="Times New Roman"/>
                <w:b w:val="0"/>
                <w:i w:val="0"/>
                <w:sz w:val="20"/>
              </w:rPr>
              <w:t>0.522</w:t>
            </w:r>
          </w:p>
        </w:tc>
        <w:tc>
          <w:tcPr>
            <w:tcW w:type="dxa" w:w="792"/>
          </w:tcPr>
          <w:p>
            <w:pPr>
              <w:spacing w:before="20" w:after="20" w:line="276" w:lineRule="auto"/>
              <w:jc w:val="center"/>
            </w:pPr>
            <w:r/>
            <w:r>
              <w:rPr>
                <w:rFonts w:ascii="Times New Roman" w:hAnsi="Times New Roman" w:cs="Times New Roman"/>
                <w:rFonts w:ascii="Times New Roman" w:hAnsi="Times New Roman"/>
                <w:b w:val="0"/>
                <w:i w:val="0"/>
                <w:sz w:val="20"/>
              </w:rPr>
              <w:t>.026</w:t>
            </w:r>
          </w:p>
        </w:tc>
        <w:tc>
          <w:tcPr>
            <w:tcW w:type="dxa" w:w="1080"/>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576"/>
          </w:tcPr>
          <w:p>
            <w:pPr>
              <w:spacing w:before="20" w:after="20" w:line="276" w:lineRule="auto"/>
              <w:jc w:val="center"/>
            </w:pPr>
            <w:r/>
            <w:r>
              <w:rPr>
                <w:rFonts w:ascii="Times New Roman" w:hAnsi="Times New Roman" w:cs="Times New Roman"/>
                <w:rFonts w:ascii="Times New Roman" w:hAnsi="Times New Roman"/>
                <w:b w:val="0"/>
                <w:i w:val="0"/>
                <w:sz w:val="20"/>
              </w:rPr>
              <w:t>ns</w:t>
            </w:r>
          </w:p>
        </w:tc>
      </w:tr>
      <w:tr>
        <w:tc>
          <w:tcPr>
            <w:tcW w:type="dxa" w:w="1152"/>
          </w:tcPr>
          <w:p>
            <w:pPr>
              <w:spacing w:before="20" w:after="20" w:line="276" w:lineRule="auto"/>
              <w:jc w:val="left"/>
            </w:pPr>
            <w:r/>
            <w:r>
              <w:rPr>
                <w:rFonts w:ascii="Times New Roman" w:hAnsi="Times New Roman" w:cs="Times New Roman"/>
                <w:rFonts w:ascii="Times New Roman" w:hAnsi="Times New Roman"/>
                <w:b w:val="0"/>
                <w:i w:val="0"/>
                <w:sz w:val="20"/>
              </w:rPr>
              <w:t>Likes</w:t>
            </w:r>
          </w:p>
        </w:tc>
        <w:tc>
          <w:tcPr>
            <w:tcW w:type="dxa" w:w="936"/>
          </w:tcPr>
          <w:p>
            <w:pPr>
              <w:spacing w:before="20" w:after="20" w:line="276" w:lineRule="auto"/>
              <w:jc w:val="center"/>
            </w:pPr>
            <w:r/>
            <w:r>
              <w:rPr>
                <w:rFonts w:ascii="Times New Roman" w:hAnsi="Times New Roman" w:cs="Times New Roman"/>
                <w:rFonts w:ascii="Times New Roman" w:hAnsi="Times New Roman"/>
                <w:b w:val="0"/>
                <w:i w:val="0"/>
                <w:sz w:val="20"/>
              </w:rPr>
              <w:t>0.549</w:t>
            </w:r>
          </w:p>
        </w:tc>
        <w:tc>
          <w:tcPr>
            <w:tcW w:type="dxa" w:w="792"/>
          </w:tcPr>
          <w:p>
            <w:pPr>
              <w:spacing w:before="20" w:after="20" w:line="276" w:lineRule="auto"/>
              <w:jc w:val="center"/>
            </w:pPr>
            <w:r/>
            <w:r>
              <w:rPr>
                <w:rFonts w:ascii="Times New Roman" w:hAnsi="Times New Roman" w:cs="Times New Roman"/>
                <w:rFonts w:ascii="Times New Roman" w:hAnsi="Times New Roman"/>
                <w:b w:val="0"/>
                <w:i w:val="0"/>
                <w:sz w:val="20"/>
              </w:rPr>
              <w:t>&lt; .001</w:t>
            </w:r>
          </w:p>
        </w:tc>
        <w:tc>
          <w:tcPr>
            <w:tcW w:type="dxa" w:w="1008"/>
          </w:tcPr>
          <w:p>
            <w:pPr>
              <w:spacing w:before="20" w:after="20" w:line="276" w:lineRule="auto"/>
              <w:jc w:val="center"/>
            </w:pPr>
            <w:r/>
            <w:r>
              <w:rPr>
                <w:rFonts w:ascii="Times New Roman" w:hAnsi="Times New Roman" w:cs="Times New Roman"/>
                <w:rFonts w:ascii="Times New Roman" w:hAnsi="Times New Roman"/>
                <w:b w:val="0"/>
                <w:i w:val="0"/>
                <w:sz w:val="20"/>
              </w:rPr>
              <w:t>−0.338</w:t>
            </w:r>
          </w:p>
        </w:tc>
        <w:tc>
          <w:tcPr>
            <w:tcW w:type="dxa" w:w="792"/>
          </w:tcPr>
          <w:p>
            <w:pPr>
              <w:spacing w:before="20" w:after="20" w:line="276" w:lineRule="auto"/>
              <w:jc w:val="center"/>
            </w:pPr>
            <w:r/>
            <w:r>
              <w:rPr>
                <w:rFonts w:ascii="Times New Roman" w:hAnsi="Times New Roman" w:cs="Times New Roman"/>
                <w:rFonts w:ascii="Times New Roman" w:hAnsi="Times New Roman"/>
                <w:b w:val="0"/>
                <w:i w:val="0"/>
                <w:sz w:val="20"/>
              </w:rPr>
              <w:t>.023</w:t>
            </w:r>
          </w:p>
        </w:tc>
        <w:tc>
          <w:tcPr>
            <w:tcW w:type="dxa" w:w="936"/>
          </w:tcPr>
          <w:p>
            <w:pPr>
              <w:spacing w:before="20" w:after="20" w:line="276" w:lineRule="auto"/>
              <w:jc w:val="center"/>
            </w:pPr>
            <w:r/>
            <w:r>
              <w:rPr>
                <w:rFonts w:ascii="Times New Roman" w:hAnsi="Times New Roman" w:cs="Times New Roman"/>
                <w:rFonts w:ascii="Times New Roman" w:hAnsi="Times New Roman"/>
                <w:b w:val="0"/>
                <w:i w:val="0"/>
                <w:sz w:val="20"/>
              </w:rPr>
              <w:t>0.475</w:t>
            </w:r>
          </w:p>
        </w:tc>
        <w:tc>
          <w:tcPr>
            <w:tcW w:type="dxa" w:w="792"/>
          </w:tcPr>
          <w:p>
            <w:pPr>
              <w:spacing w:before="20" w:after="20" w:line="276" w:lineRule="auto"/>
              <w:jc w:val="center"/>
            </w:pPr>
            <w:r/>
            <w:r>
              <w:rPr>
                <w:rFonts w:ascii="Times New Roman" w:hAnsi="Times New Roman" w:cs="Times New Roman"/>
                <w:rFonts w:ascii="Times New Roman" w:hAnsi="Times New Roman"/>
                <w:b w:val="0"/>
                <w:i w:val="0"/>
                <w:sz w:val="20"/>
              </w:rPr>
              <w:t>.003</w:t>
            </w:r>
          </w:p>
        </w:tc>
        <w:tc>
          <w:tcPr>
            <w:tcW w:type="dxa" w:w="1080"/>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576"/>
          </w:tcPr>
          <w:p>
            <w:pPr>
              <w:spacing w:before="20" w:after="20" w:line="276" w:lineRule="auto"/>
              <w:jc w:val="center"/>
            </w:pPr>
            <w:r/>
            <w:r>
              <w:rPr>
                <w:rFonts w:ascii="Times New Roman" w:hAnsi="Times New Roman" w:cs="Times New Roman"/>
                <w:rFonts w:ascii="Times New Roman" w:hAnsi="Times New Roman"/>
                <w:b w:val="0"/>
                <w:i w:val="0"/>
                <w:sz w:val="20"/>
              </w:rPr>
              <w:t>ns</w:t>
            </w:r>
          </w:p>
        </w:tc>
      </w:tr>
      <w:tr>
        <w:tc>
          <w:tcPr>
            <w:tcW w:type="dxa" w:w="1152"/>
          </w:tcPr>
          <w:p>
            <w:pPr>
              <w:spacing w:before="20" w:after="20" w:line="276" w:lineRule="auto"/>
              <w:jc w:val="left"/>
            </w:pPr>
            <w:r/>
            <w:r>
              <w:rPr>
                <w:rFonts w:ascii="Times New Roman" w:hAnsi="Times New Roman" w:cs="Times New Roman"/>
                <w:rFonts w:ascii="Times New Roman" w:hAnsi="Times New Roman"/>
                <w:b w:val="0"/>
                <w:i w:val="0"/>
                <w:sz w:val="20"/>
              </w:rPr>
              <w:t>Comments</w:t>
            </w:r>
          </w:p>
        </w:tc>
        <w:tc>
          <w:tcPr>
            <w:tcW w:type="dxa" w:w="936"/>
          </w:tcPr>
          <w:p>
            <w:pPr>
              <w:spacing w:before="20" w:after="20" w:line="276" w:lineRule="auto"/>
              <w:jc w:val="center"/>
            </w:pPr>
            <w:r/>
            <w:r>
              <w:rPr>
                <w:rFonts w:ascii="Times New Roman" w:hAnsi="Times New Roman" w:cs="Times New Roman"/>
                <w:rFonts w:ascii="Times New Roman" w:hAnsi="Times New Roman"/>
                <w:b w:val="0"/>
                <w:i w:val="0"/>
                <w:sz w:val="20"/>
              </w:rPr>
              <w:t>0.520</w:t>
            </w:r>
          </w:p>
        </w:tc>
        <w:tc>
          <w:tcPr>
            <w:tcW w:type="dxa" w:w="792"/>
          </w:tcPr>
          <w:p>
            <w:pPr>
              <w:spacing w:before="20" w:after="20" w:line="276" w:lineRule="auto"/>
              <w:jc w:val="center"/>
            </w:pPr>
            <w:r/>
            <w:r>
              <w:rPr>
                <w:rFonts w:ascii="Times New Roman" w:hAnsi="Times New Roman" w:cs="Times New Roman"/>
                <w:rFonts w:ascii="Times New Roman" w:hAnsi="Times New Roman"/>
                <w:b w:val="0"/>
                <w:i w:val="0"/>
                <w:sz w:val="20"/>
              </w:rPr>
              <w:t>&lt; .001</w:t>
            </w:r>
          </w:p>
        </w:tc>
        <w:tc>
          <w:tcPr>
            <w:tcW w:type="dxa" w:w="1008"/>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792"/>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936"/>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792"/>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1080"/>
          </w:tcPr>
          <w:p>
            <w:pPr>
              <w:spacing w:before="20" w:after="20" w:line="276" w:lineRule="auto"/>
              <w:jc w:val="center"/>
            </w:pPr>
            <w:r/>
            <w:r>
              <w:rPr>
                <w:rFonts w:ascii="Times New Roman" w:hAnsi="Times New Roman" w:cs="Times New Roman"/>
                <w:rFonts w:ascii="Times New Roman" w:hAnsi="Times New Roman"/>
                <w:b w:val="0"/>
                <w:i w:val="0"/>
                <w:sz w:val="20"/>
              </w:rPr>
              <w:t>—</w:t>
            </w:r>
          </w:p>
        </w:tc>
        <w:tc>
          <w:tcPr>
            <w:tcW w:type="dxa" w:w="576"/>
          </w:tcPr>
          <w:p>
            <w:pPr>
              <w:spacing w:before="20" w:after="20" w:line="276" w:lineRule="auto"/>
              <w:jc w:val="center"/>
            </w:pPr>
            <w:r/>
            <w:r>
              <w:rPr>
                <w:rFonts w:ascii="Times New Roman" w:hAnsi="Times New Roman" w:cs="Times New Roman"/>
                <w:rFonts w:ascii="Times New Roman" w:hAnsi="Times New Roman"/>
                <w:b w:val="0"/>
                <w:i w:val="0"/>
                <w:sz w:val="20"/>
              </w:rPr>
              <w:t>ns</w:t>
            </w:r>
          </w:p>
        </w:tc>
      </w:tr>
    </w:tbl>
    <w:p>
      <w:pPr>
        <w:spacing w:before="0" w:after="240" w:line="360" w:lineRule="auto"/>
        <w:jc w:val="left"/>
      </w:pPr>
      <w:r>
        <w:rPr>
          <w:rFonts w:ascii="Times New Roman" w:hAnsi="Times New Roman" w:cs="Times New Roman"/>
          <w:rFonts w:ascii="Times New Roman" w:hAnsi="Times New Roman"/>
          <w:b w:val="0"/>
          <w:i/>
          <w:sz w:val="20"/>
        </w:rPr>
        <w:t xml:space="preserve">Note. </w:t>
      </w:r>
      <w:r>
        <w:rPr>
          <w:rFonts w:ascii="Times New Roman" w:hAnsi="Times New Roman" w:cs="Times New Roman"/>
          <w:rFonts w:ascii="Times New Roman" w:hAnsi="Times New Roman"/>
          <w:b w:val="0"/>
          <w:i w:val="0"/>
          <w:sz w:val="20"/>
        </w:rPr>
        <w:t>Dashes indicate data not available or not computed. ns = not significant. Website engagement data were not collected.</w:t>
      </w:r>
    </w:p>
    <w:p>
      <w:pPr>
        <w:spacing w:before="0" w:after="120" w:line="360" w:lineRule="auto"/>
        <w:ind w:firstLine="709"/>
        <w:jc w:val="both"/>
      </w:pPr>
      <w:r>
        <w:rPr>
          <w:rFonts w:ascii="Times New Roman" w:hAnsi="Times New Roman" w:cs="Times New Roman"/>
          <w:rFonts w:ascii="Times New Roman" w:hAnsi="Times New Roman"/>
          <w:b w:val="0"/>
          <w:i w:val="0"/>
          <w:sz w:val="24"/>
        </w:rPr>
        <w:t>At the aggregate level, the correlation between views and DISCERN scores was negligible and non-significant (ρ = .017, p = .894). In contrast, both likes (ρ = .549, p &lt; .001) and comments (ρ = .520, p &lt; .001) demonstrated strong positive correlations with information quality across platforms.</w:t>
      </w:r>
    </w:p>
    <w:p>
      <w:pPr>
        <w:spacing w:before="0" w:after="120" w:line="360" w:lineRule="auto"/>
        <w:ind w:firstLine="709"/>
        <w:jc w:val="both"/>
      </w:pPr>
      <w:r>
        <w:rPr>
          <w:rFonts w:ascii="Times New Roman" w:hAnsi="Times New Roman" w:cs="Times New Roman"/>
          <w:rFonts w:ascii="Times New Roman" w:hAnsi="Times New Roman"/>
          <w:b w:val="0"/>
          <w:i w:val="0"/>
          <w:sz w:val="24"/>
        </w:rPr>
        <w:t>Platform-specific analysis revealed divergent patterns. On YouTube, views and likes were negatively correlated with DISCERN scores (ρ = −.352, p = .018 and ρ = −.338, p = .023, respectively), suggesting that more popular YouTube content tended to be of lower quality. Conversely, on TikTok, both views (ρ = .522, p = .026) and likes (ρ = .475, p = .003) were positively associated with quality. No significant engagement-quality correlations were observed for Instagram.</w:t>
      </w:r>
    </w:p>
    <w:p>
      <w:pPr>
        <w:spacing w:before="240" w:after="120" w:line="360" w:lineRule="auto"/>
        <w:jc w:val="left"/>
      </w:pPr>
      <w:r>
        <w:rPr>
          <w:rFonts w:ascii="Times New Roman" w:hAnsi="Times New Roman" w:cs="Times New Roman"/>
          <w:rFonts w:ascii="Times New Roman" w:hAnsi="Times New Roman"/>
          <w:b/>
          <w:i w:val="0"/>
          <w:sz w:val="24"/>
        </w:rPr>
        <w:t>3.7 Content Format Patterns</w:t>
      </w:r>
    </w:p>
    <w:p>
      <w:pPr>
        <w:spacing w:before="0" w:after="120" w:line="360" w:lineRule="auto"/>
        <w:ind w:firstLine="709"/>
        <w:jc w:val="both"/>
      </w:pPr>
      <w:r>
        <w:rPr>
          <w:rFonts w:ascii="Times New Roman" w:hAnsi="Times New Roman" w:cs="Times New Roman"/>
          <w:rFonts w:ascii="Times New Roman" w:hAnsi="Times New Roman"/>
          <w:b w:val="0"/>
          <w:i w:val="0"/>
          <w:sz w:val="24"/>
        </w:rPr>
        <w:t>Content format was associated with information quality. Long-form video content (&gt;5 minutes) achieved a median DISCERN score of 39.00, compared to 29.00 for short-form video (&lt;60 seconds) and 21.00 for carousel posts. These differences are largely confounded with platform, as content format was heavily determined by platform affordances. However, the pattern suggests that formats allowing for greater depth of information presentation were associated with higher quality scores.</w:t>
      </w:r>
    </w:p>
    <w:p>
      <w:pPr>
        <w:spacing w:before="0" w:after="120" w:line="360" w:lineRule="auto"/>
        <w:ind w:firstLine="709"/>
        <w:jc w:val="both"/>
      </w:pPr>
      <w:r>
        <w:rPr>
          <w:rFonts w:ascii="Times New Roman" w:hAnsi="Times New Roman" w:cs="Times New Roman"/>
          <w:rFonts w:ascii="Times New Roman" w:hAnsi="Times New Roman"/>
          <w:b w:val="0"/>
          <w:i w:val="0"/>
          <w:sz w:val="24"/>
        </w:rPr>
        <w:t>An analysis of search term effects on DISCERN scores revealed no significant differences, H(4) = 5.32, p = .256, indicating that the five search terms yielded comparable quality distributions. This finding supports the robustness of the results across different physical activity information queries.</w:t>
      </w:r>
    </w:p>
    <w:p>
      <w:pPr>
        <w:spacing w:before="240" w:after="120" w:line="360" w:lineRule="auto"/>
        <w:jc w:val="left"/>
      </w:pPr>
      <w:r>
        <w:rPr>
          <w:rFonts w:ascii="Times New Roman" w:hAnsi="Times New Roman" w:cs="Times New Roman"/>
          <w:rFonts w:ascii="Times New Roman" w:hAnsi="Times New Roman"/>
          <w:b/>
          <w:i w:val="0"/>
          <w:sz w:val="24"/>
        </w:rPr>
        <w:t>3.8 Summary of Key Findings</w:t>
      </w:r>
    </w:p>
    <w:p>
      <w:pPr>
        <w:spacing w:before="0" w:after="120" w:line="360" w:lineRule="auto"/>
        <w:ind w:firstLine="709"/>
        <w:jc w:val="both"/>
      </w:pPr>
      <w:r>
        <w:rPr>
          <w:rFonts w:ascii="Times New Roman" w:hAnsi="Times New Roman" w:cs="Times New Roman"/>
          <w:rFonts w:ascii="Times New Roman" w:hAnsi="Times New Roman"/>
          <w:b w:val="0"/>
          <w:i w:val="0"/>
          <w:sz w:val="24"/>
        </w:rPr>
        <w:t>In summary, the principal findings of this analysis are as follows. First, a clear quality gradient was observed across platforms, with traditional websites scoring highest on DISCERN and Instagram scoring lowest, and all pairwise differences reaching statistical significance with large effect sizes (η² = .68). Second, JAMA benchmark compliance was uniformly low across all platforms, with no significant overall difference, though individual criteria varied by platform. Third, professional creators produced significantly higher-quality content than non-professionals on both DISCERN and JAMA measures, albeit with a small effect size for DISCERN (r = −0.204). Fourth, the engagement-quality relationship was metric- and platform-dependent: views showed no overall association with quality, while likes and comments showed strong positive correlations; however, YouTube exhibited negative engagement-quality correlations while TikTok showed positive ones. These findings are discussed in the context of existing literature in Chapter 4.</w:t>
      </w:r>
    </w:p>
    <w:p>
      <w:pPr>
        <w:spacing w:before="0" w:after="240" w:line="360" w:lineRule="auto"/>
        <w:jc w:val="center"/>
      </w:pPr>
      <w:r>
        <w:rPr>
          <w:rFonts w:ascii="Times New Roman" w:hAnsi="Times New Roman" w:cs="Times New Roman"/>
          <w:rFonts w:ascii="Times New Roman" w:hAnsi="Times New Roman"/>
          <w:b/>
          <w:i w:val="0"/>
          <w:sz w:val="28"/>
        </w:rPr>
        <w:t>4. DISCUSSION</w:t>
      </w:r>
    </w:p>
    <w:p>
      <w:pPr>
        <w:spacing w:before="0" w:after="120" w:line="360" w:lineRule="auto"/>
        <w:ind w:firstLine="709"/>
        <w:jc w:val="both"/>
      </w:pPr>
      <w:r>
        <w:rPr>
          <w:rFonts w:ascii="Times New Roman" w:hAnsi="Times New Roman" w:cs="Times New Roman"/>
          <w:rFonts w:ascii="Times New Roman" w:hAnsi="Times New Roman"/>
          <w:b w:val="0"/>
          <w:i w:val="0"/>
          <w:sz w:val="24"/>
        </w:rPr>
        <w:t>This chapter interprets the principal findings of the cross-sectional content analysis in light of existing literature, evaluates the study's methodological strengths and limitations, and outlines implications for public health practice and future research. The overarching aim was to determine whether the quality of physical activity (PA) information differs across traditional websites, YouTube, TikTok, and Instagram when assessed with the DISCERN instrument and JAMA benchmarks, and whether creator type and audience engagement moderate that quality.</w:t>
      </w:r>
    </w:p>
    <w:p>
      <w:pPr>
        <w:spacing w:before="240" w:after="120" w:line="360" w:lineRule="auto"/>
        <w:jc w:val="left"/>
      </w:pPr>
      <w:r>
        <w:rPr>
          <w:rFonts w:ascii="Times New Roman" w:hAnsi="Times New Roman" w:cs="Times New Roman"/>
          <w:rFonts w:ascii="Times New Roman" w:hAnsi="Times New Roman"/>
          <w:b/>
          <w:i w:val="0"/>
          <w:sz w:val="24"/>
        </w:rPr>
        <w:t>4.1 Summary of Key Findings</w:t>
      </w:r>
    </w:p>
    <w:p>
      <w:pPr>
        <w:spacing w:before="0" w:after="120" w:line="360" w:lineRule="auto"/>
        <w:ind w:firstLine="709"/>
        <w:jc w:val="both"/>
      </w:pPr>
      <w:r>
        <w:rPr>
          <w:rFonts w:ascii="Times New Roman" w:hAnsi="Times New Roman" w:cs="Times New Roman"/>
          <w:rFonts w:ascii="Times New Roman" w:hAnsi="Times New Roman"/>
          <w:b w:val="0"/>
          <w:i w:val="0"/>
          <w:sz w:val="24"/>
        </w:rPr>
        <w:t>Three principal findings emerged from the analysis of 200 items across four platforms. First, a clear and statistically significant quality gradient was observed: traditional websites produced the highest DISCERN scores (Mdn = 48, classified as fair-to-good), followed by YouTube (Mdn = 39, fair-to-poor), TikTok (Mdn = 31, poor), and Instagram (Mdn = 21, very poor). The Kruskal-Wallis test confirmed this pattern, H(3) = 136.58, p &lt; .001, with a large effect size (η² = .68), and all six pairwise comparisons reached statistical significance after Bonferroni correction. This gradient suggests that platform architecture—particularly the space available for textual detail, referencing, and authorship disclosure—plays a decisive role in the completeness and reliability of health content.</w:t>
      </w:r>
    </w:p>
    <w:p>
      <w:pPr>
        <w:spacing w:before="0" w:after="120" w:line="360" w:lineRule="auto"/>
        <w:ind w:firstLine="709"/>
        <w:jc w:val="both"/>
      </w:pPr>
      <w:r>
        <w:rPr>
          <w:rFonts w:ascii="Times New Roman" w:hAnsi="Times New Roman" w:cs="Times New Roman"/>
          <w:rFonts w:ascii="Times New Roman" w:hAnsi="Times New Roman"/>
          <w:b w:val="0"/>
          <w:i w:val="0"/>
          <w:sz w:val="24"/>
        </w:rPr>
        <w:t>Second, creator type significantly moderated DISCERN scores, with healthcare and certified fitness professionals scoring higher (Mdn = 39.5) than non-professional creators (Mdn = 35.0; Mann-Whitney U, p = .033). However, the effect was small (r = −.204), indicating that professional credentials alone do not guarantee high-quality output. Notably, organisations dominated the traditional website space (78% of website items), whereas fitness influencers and general users were the predominant creators on YouTube and TikTok. This distributional imbalance partly explains the platform quality gradient, as the platforms with the lowest scores were also those with the fewest professionally credentialed authors.</w:t>
      </w:r>
    </w:p>
    <w:p>
      <w:pPr>
        <w:spacing w:before="0" w:after="120" w:line="360" w:lineRule="auto"/>
        <w:ind w:firstLine="709"/>
        <w:jc w:val="both"/>
      </w:pPr>
      <w:r>
        <w:rPr>
          <w:rFonts w:ascii="Times New Roman" w:hAnsi="Times New Roman" w:cs="Times New Roman"/>
          <w:rFonts w:ascii="Times New Roman" w:hAnsi="Times New Roman"/>
          <w:b w:val="0"/>
          <w:i w:val="0"/>
          <w:sz w:val="24"/>
        </w:rPr>
        <w:t>Third, engagement metrics bore virtually no relationship to information quality. The overall Spearman correlation between views and DISCERN total was negligible (ρ = .017). Platform-specific analyses revealed a negative correlation on YouTube (higher view counts associated with lower quality) and, unexpectedly, a positive correlation on TikTok. These divergent patterns suggest that algorithmic recommendation systems reward different content attributes on each platform, none of which appear to be information accuracy or completeness.</w:t>
      </w:r>
    </w:p>
    <w:p>
      <w:pPr>
        <w:spacing w:before="0" w:after="120" w:line="360" w:lineRule="auto"/>
        <w:ind w:firstLine="709"/>
        <w:jc w:val="both"/>
      </w:pPr>
      <w:r>
        <w:rPr>
          <w:rFonts w:ascii="Times New Roman" w:hAnsi="Times New Roman" w:cs="Times New Roman"/>
          <w:rFonts w:ascii="Times New Roman" w:hAnsi="Times New Roman"/>
          <w:b w:val="0"/>
          <w:i w:val="0"/>
          <w:sz w:val="24"/>
        </w:rPr>
        <w:t>Regarding JAMA benchmark compliance, the overall JAMA Total score did not differ significantly across platforms (p = .143). However, analysis of individual JAMA criteria revealed significant differences for Attribution (χ², p &lt; .001), Disclosure (p = .001), and Currency (p &lt; .001). Social media posts almost universally met the Currency criterion because post dates are inherently visible, yet they performed poorly on Attribution and Disclosure. This pattern highlights a structural transparency gap: social media platforms do not incentivise or facilitate source citation or conflict-of-interest disclosure in the way that editorial standards do for traditional web publishing.</w:t>
      </w:r>
    </w:p>
    <w:p>
      <w:pPr>
        <w:spacing w:before="240" w:after="120" w:line="360" w:lineRule="auto"/>
        <w:jc w:val="left"/>
      </w:pPr>
      <w:r>
        <w:rPr>
          <w:rFonts w:ascii="Times New Roman" w:hAnsi="Times New Roman" w:cs="Times New Roman"/>
          <w:rFonts w:ascii="Times New Roman" w:hAnsi="Times New Roman"/>
          <w:b/>
          <w:i w:val="0"/>
          <w:sz w:val="24"/>
        </w:rPr>
        <w:t>4.2 Comparison with Existing Literature</w:t>
      </w:r>
    </w:p>
    <w:p>
      <w:pPr>
        <w:spacing w:before="0" w:after="120" w:line="360" w:lineRule="auto"/>
        <w:ind w:firstLine="709"/>
        <w:jc w:val="both"/>
      </w:pPr>
      <w:r>
        <w:rPr>
          <w:rFonts w:ascii="Times New Roman" w:hAnsi="Times New Roman" w:cs="Times New Roman"/>
          <w:rFonts w:ascii="Times New Roman" w:hAnsi="Times New Roman"/>
          <w:b w:val="0"/>
          <w:i w:val="0"/>
          <w:sz w:val="24"/>
        </w:rPr>
        <w:t>The quality gradient observed in this study is broadly consistent with earlier work on online health information. The overall mean DISCERN score of 36.3 out of 80 aligns closely with the pooled estimate from the 2025 JMIR meta-analysis, which reported a DISCERN score of approximately 43.58 out of 100 (equivalent to roughly 34.9 on an 80-point scale) across diverse health topics (I² = 93.22%). That our sample slightly exceeded this benchmark is encouraging, but it also underscores that even the best-performing platform—traditional websites—only reached the lower boundary of the “good” category. This finding resonates with Eysenbach's (2002) foundational observation that health information quality on the internet is highly variable, a conclusion that remains valid more than two decades later.</w:t>
      </w:r>
    </w:p>
    <w:p>
      <w:pPr>
        <w:spacing w:before="0" w:after="120" w:line="360" w:lineRule="auto"/>
        <w:ind w:firstLine="709"/>
        <w:jc w:val="both"/>
      </w:pPr>
      <w:r>
        <w:rPr>
          <w:rFonts w:ascii="Times New Roman" w:hAnsi="Times New Roman" w:cs="Times New Roman"/>
          <w:rFonts w:ascii="Times New Roman" w:hAnsi="Times New Roman"/>
          <w:b w:val="0"/>
          <w:i w:val="0"/>
          <w:sz w:val="24"/>
        </w:rPr>
        <w:t>The particularly low scores for Instagram and TikTok mirror findings from recent platform-specific studies. De Moel-Mandel et al. (2025) reported that only 10% of TikTok health content was created by medical professionals; in the present study, 16% of TikTok items were attributed to healthcare professionals, a marginally higher proportion that may reflect the growing visibility of health professionals on short-video platforms. Nevertheless, this modest professional presence was insufficient to lift TikTok's overall quality above the “poor” threshold. On JAMA compliance, Haghighi and Farhadloo (2025) found that 81% of health-related Twitter content was of low quality and 95% met two or fewer of the four JAMA criteria. Our social media data follow the same pattern, with the majority of TikTok and Instagram items failing to meet Attribution and Disclosure criteria.</w:t>
      </w:r>
    </w:p>
    <w:p>
      <w:pPr>
        <w:spacing w:before="0" w:after="120" w:line="360" w:lineRule="auto"/>
        <w:ind w:firstLine="709"/>
        <w:jc w:val="both"/>
      </w:pPr>
      <w:r>
        <w:rPr>
          <w:rFonts w:ascii="Times New Roman" w:hAnsi="Times New Roman" w:cs="Times New Roman"/>
          <w:rFonts w:ascii="Times New Roman" w:hAnsi="Times New Roman"/>
          <w:b w:val="0"/>
          <w:i w:val="0"/>
          <w:sz w:val="24"/>
        </w:rPr>
        <w:t>The negligible correlation between engagement and quality extends findings by Kbaier et al. (2024), who documented how social media algorithms can amplify health misinformation. Our observation that YouTube exhibited a negative engagement-quality relationship supports the hypothesis that algorithmically promoted content on video platforms prioritises entertainment value and emotional appeal over informational rigour (Moorhead et al., 2013). Conversely, the unexpected positive correlation on TikTok may be an artefact of a small number of high-engagement professional accounts; this result should be interpreted cautiously and warrants replication.</w:t>
      </w:r>
    </w:p>
    <w:p>
      <w:pPr>
        <w:spacing w:before="0" w:after="120" w:line="360" w:lineRule="auto"/>
        <w:ind w:firstLine="709"/>
        <w:jc w:val="both"/>
      </w:pPr>
      <w:r>
        <w:rPr>
          <w:rFonts w:ascii="Times New Roman" w:hAnsi="Times New Roman" w:cs="Times New Roman"/>
          <w:rFonts w:ascii="Times New Roman" w:hAnsi="Times New Roman"/>
          <w:b w:val="0"/>
          <w:i w:val="0"/>
          <w:sz w:val="24"/>
        </w:rPr>
        <w:t>The finding that creator type moderates quality—albeit with a small effect—parallels evidence from the broader health literacy literature. Norman and Skinner (2006) argued that both provider-side and consumer-side competencies shape the quality of digital health exchanges. The present data suggest that provider-side credentialing is a necessary but not sufficient condition for high-quality content: professional creators still frequently omitted references and disclosure statements, particularly when operating within the formatting constraints of social media posts. This implies that platform design, not just author expertise, constrains the extent to which accountability criteria can be fulfilled.</w:t>
      </w:r>
    </w:p>
    <w:p>
      <w:pPr>
        <w:spacing w:before="240" w:after="120" w:line="360" w:lineRule="auto"/>
        <w:jc w:val="left"/>
      </w:pPr>
      <w:r>
        <w:rPr>
          <w:rFonts w:ascii="Times New Roman" w:hAnsi="Times New Roman" w:cs="Times New Roman"/>
          <w:rFonts w:ascii="Times New Roman" w:hAnsi="Times New Roman"/>
          <w:b/>
          <w:i w:val="0"/>
          <w:sz w:val="24"/>
        </w:rPr>
        <w:t>4.3 Implications for Public Health Practice</w:t>
      </w:r>
    </w:p>
    <w:p>
      <w:pPr>
        <w:spacing w:before="0" w:after="120" w:line="360" w:lineRule="auto"/>
        <w:ind w:firstLine="709"/>
        <w:jc w:val="both"/>
      </w:pPr>
      <w:r>
        <w:rPr>
          <w:rFonts w:ascii="Times New Roman" w:hAnsi="Times New Roman" w:cs="Times New Roman"/>
          <w:rFonts w:ascii="Times New Roman" w:hAnsi="Times New Roman"/>
          <w:b w:val="0"/>
          <w:i w:val="0"/>
          <w:sz w:val="24"/>
        </w:rPr>
        <w:t>These findings carry several implications for public health practitioners and policy makers. First, the clear platform quality gradient argues against treating the internet as a monolithic information source. Public health messaging strategies should be calibrated to the specific affordances and limitations of each platform. For instance, short-form video platforms such as TikTok and Instagram Reels impose severe constraints on citation, attribution, and nuanced explanation; public health organisations seeking to use these platforms must develop content formats that maximise accuracy within those constraints, such as pinned comments with references or standardised disclosure overlays.</w:t>
      </w:r>
    </w:p>
    <w:p>
      <w:pPr>
        <w:spacing w:before="0" w:after="120" w:line="360" w:lineRule="auto"/>
        <w:ind w:firstLine="709"/>
        <w:jc w:val="both"/>
      </w:pPr>
      <w:r>
        <w:rPr>
          <w:rFonts w:ascii="Times New Roman" w:hAnsi="Times New Roman" w:cs="Times New Roman"/>
          <w:rFonts w:ascii="Times New Roman" w:hAnsi="Times New Roman"/>
          <w:b w:val="0"/>
          <w:i w:val="0"/>
          <w:sz w:val="24"/>
        </w:rPr>
        <w:t>Second, the absence of a positive engagement-quality relationship suggests that high-quality health information does not organically reach large audiences on social media. Public health agencies may therefore need to invest in paid promotion or influencer partnerships to ensure that evidence-based PA information achieves competitive visibility. The World Health Organization (2023) has already endorsed strategic use of social media for health communication, and our data reinforce the need for such strategies to be accompanied by quality assurance mechanisms.</w:t>
      </w:r>
    </w:p>
    <w:p>
      <w:pPr>
        <w:spacing w:before="0" w:after="120" w:line="360" w:lineRule="auto"/>
        <w:ind w:firstLine="709"/>
        <w:jc w:val="both"/>
      </w:pPr>
      <w:r>
        <w:rPr>
          <w:rFonts w:ascii="Times New Roman" w:hAnsi="Times New Roman" w:cs="Times New Roman"/>
          <w:rFonts w:ascii="Times New Roman" w:hAnsi="Times New Roman"/>
          <w:b w:val="0"/>
          <w:i w:val="0"/>
          <w:sz w:val="24"/>
        </w:rPr>
        <w:t>Third, the dominance of non-professional creators on social media platforms calls for educational interventions targeting both content creators and consumers. Creator-side interventions could include platform-integrated prompts to cite sources or disclose conflicts of interest, while consumer-side interventions should focus on enhancing eHealth literacy (Norman &amp; Skinner, 2006) so that users can critically appraise PA content regardless of the platform on which it is encountered. Fox and Duggan (2013) documented that a substantial proportion of health information seekers do not verify the sources they consult; the present data suggest that this problem is compounded on platforms where source verification is structurally difficult.</w:t>
      </w:r>
    </w:p>
    <w:p>
      <w:pPr>
        <w:spacing w:before="240" w:after="120" w:line="360" w:lineRule="auto"/>
        <w:jc w:val="left"/>
      </w:pPr>
      <w:r>
        <w:rPr>
          <w:rFonts w:ascii="Times New Roman" w:hAnsi="Times New Roman" w:cs="Times New Roman"/>
          <w:rFonts w:ascii="Times New Roman" w:hAnsi="Times New Roman"/>
          <w:b/>
          <w:i w:val="0"/>
          <w:sz w:val="24"/>
        </w:rPr>
        <w:t>4.4 Strengths of the Study</w:t>
      </w:r>
    </w:p>
    <w:p>
      <w:pPr>
        <w:spacing w:before="0" w:after="120" w:line="360" w:lineRule="auto"/>
        <w:ind w:firstLine="709"/>
        <w:jc w:val="both"/>
      </w:pPr>
      <w:r>
        <w:rPr>
          <w:rFonts w:ascii="Times New Roman" w:hAnsi="Times New Roman" w:cs="Times New Roman"/>
          <w:rFonts w:ascii="Times New Roman" w:hAnsi="Times New Roman"/>
          <w:b w:val="0"/>
          <w:i w:val="0"/>
          <w:sz w:val="24"/>
        </w:rPr>
        <w:t>This study offers several methodological strengths. To the best of our knowledge, it is the first investigation to compare all four platform types—traditional websites, YouTube, TikTok, and Instagram—within a single study using both the DISCERN instrument and JAMA benchmarks. Previous research has typically examined one or two platforms in isolation, limiting cross-platform inference. The present design enables direct, standardised comparison across the platforms most commonly accessed for PA information.</w:t>
      </w:r>
    </w:p>
    <w:p>
      <w:pPr>
        <w:spacing w:before="0" w:after="120" w:line="360" w:lineRule="auto"/>
        <w:ind w:firstLine="709"/>
        <w:jc w:val="both"/>
      </w:pPr>
      <w:r>
        <w:rPr>
          <w:rFonts w:ascii="Times New Roman" w:hAnsi="Times New Roman" w:cs="Times New Roman"/>
          <w:rFonts w:ascii="Times New Roman" w:hAnsi="Times New Roman"/>
          <w:b w:val="0"/>
          <w:i w:val="0"/>
          <w:sz w:val="24"/>
        </w:rPr>
        <w:t>The sample of 200 items (50 per platform) is larger than many content analysis studies in this domain and was drawn using a systematic protocol of five representative search terms applied uniformly across all platforms. Inter-rater reliability was excellent, with an intraclass correlation coefficient (ICC) of 0.994 for DISCERN scores, well above the commonly accepted threshold of 0.75 (Koo &amp; Li, 2016). This level of agreement strengthens confidence that the observed quality differences reflect genuine content variation rather than rater inconsistency.</w:t>
      </w:r>
    </w:p>
    <w:p>
      <w:pPr>
        <w:spacing w:before="0" w:after="120" w:line="360" w:lineRule="auto"/>
        <w:ind w:firstLine="709"/>
        <w:jc w:val="both"/>
      </w:pPr>
      <w:r>
        <w:rPr>
          <w:rFonts w:ascii="Times New Roman" w:hAnsi="Times New Roman" w:cs="Times New Roman"/>
          <w:rFonts w:ascii="Times New Roman" w:hAnsi="Times New Roman"/>
          <w:b w:val="0"/>
          <w:i w:val="0"/>
          <w:sz w:val="24"/>
        </w:rPr>
        <w:t>Additionally, the use of both DISCERN (measuring reliability and treatment information quality) and JAMA benchmarks (measuring accountability through authorship, attribution, disclosure, and currency) provides a more comprehensive quality profile than either instrument alone. This dual-instrument approach is especially valuable because DISCERN and JAMA capture partially overlapping but distinct dimensions of information quality (Charnock et al., 1999; Silberg et al., 1997).</w:t>
      </w:r>
    </w:p>
    <w:p>
      <w:pPr>
        <w:spacing w:before="240" w:after="120" w:line="360" w:lineRule="auto"/>
        <w:jc w:val="left"/>
      </w:pPr>
      <w:r>
        <w:rPr>
          <w:rFonts w:ascii="Times New Roman" w:hAnsi="Times New Roman" w:cs="Times New Roman"/>
          <w:rFonts w:ascii="Times New Roman" w:hAnsi="Times New Roman"/>
          <w:b/>
          <w:i w:val="0"/>
          <w:sz w:val="24"/>
        </w:rPr>
        <w:t>4.5 Limitations</w:t>
      </w:r>
    </w:p>
    <w:p>
      <w:pPr>
        <w:spacing w:before="0" w:after="120" w:line="360" w:lineRule="auto"/>
        <w:ind w:firstLine="709"/>
        <w:jc w:val="both"/>
      </w:pPr>
      <w:r>
        <w:rPr>
          <w:rFonts w:ascii="Times New Roman" w:hAnsi="Times New Roman" w:cs="Times New Roman"/>
          <w:rFonts w:ascii="Times New Roman" w:hAnsi="Times New Roman"/>
          <w:b w:val="0"/>
          <w:i w:val="0"/>
          <w:sz w:val="24"/>
        </w:rPr>
        <w:t>Several limitations should be considered when interpreting these results. First, the cross-sectional design captures a single snapshot of platform content. Online health information is dynamic; content is continuously created, updated, and removed. The quality landscape observed at the time of data collection may not generalise to other time periods, and longitudinal designs would be needed to track quality trends.</w:t>
      </w:r>
    </w:p>
    <w:p>
      <w:pPr>
        <w:spacing w:before="0" w:after="120" w:line="360" w:lineRule="auto"/>
        <w:ind w:firstLine="709"/>
        <w:jc w:val="both"/>
      </w:pPr>
      <w:r>
        <w:rPr>
          <w:rFonts w:ascii="Times New Roman" w:hAnsi="Times New Roman" w:cs="Times New Roman"/>
          <w:rFonts w:ascii="Times New Roman" w:hAnsi="Times New Roman"/>
          <w:b w:val="0"/>
          <w:i w:val="0"/>
          <w:sz w:val="24"/>
        </w:rPr>
        <w:t>Second, the study was limited to English-language content. Physical activity information in other languages may differ in quality and creator composition, and findings may not transfer to non-English-speaking populations. Third, the scoring of video-based content on YouTube, TikTok, and Instagram relied on titles, descriptions, captions, and visible on-screen text rather than full audiovisual analysis of spoken content. This approach was necessary for feasibility and consistency with the text-oriented DISCERN instrument, but it may underestimate the informational depth of videos whose quality resides primarily in verbal explanation rather than written metadata.</w:t>
      </w:r>
    </w:p>
    <w:p>
      <w:pPr>
        <w:spacing w:before="0" w:after="120" w:line="360" w:lineRule="auto"/>
        <w:ind w:firstLine="709"/>
        <w:jc w:val="both"/>
      </w:pPr>
      <w:r>
        <w:rPr>
          <w:rFonts w:ascii="Times New Roman" w:hAnsi="Times New Roman" w:cs="Times New Roman"/>
          <w:rFonts w:ascii="Times New Roman" w:hAnsi="Times New Roman"/>
          <w:b w:val="0"/>
          <w:i w:val="0"/>
          <w:sz w:val="24"/>
        </w:rPr>
        <w:t>Fourth, the sampling strategy—selecting the top 10 results per search term—captures the most visible content but may not represent the full breadth of PA information available on each platform. Users who scroll beyond the first page or receive personalised algorithmic recommendations may encounter content of different quality. Fifth, although DISCERN is the most widely validated tool for assessing consumer health information, it was originally designed for written patient information leaflets (Charnock et al., 1999). Applying it to social media posts required operationalisation decisions (detailed in Chapter 2) that, while transparent and systematic, represent an adaptation beyond the instrument’s original scope.</w:t>
      </w:r>
    </w:p>
    <w:p>
      <w:pPr>
        <w:spacing w:before="0" w:after="120" w:line="360" w:lineRule="auto"/>
        <w:ind w:firstLine="709"/>
        <w:jc w:val="both"/>
      </w:pPr>
      <w:r>
        <w:rPr>
          <w:rFonts w:ascii="Times New Roman" w:hAnsi="Times New Roman" w:cs="Times New Roman"/>
          <w:rFonts w:ascii="Times New Roman" w:hAnsi="Times New Roman"/>
          <w:b w:val="0"/>
          <w:i w:val="0"/>
          <w:sz w:val="24"/>
        </w:rPr>
        <w:t>Sixth, all searches were conducted from a single geographic location, meaning that search engine and platform algorithms may have returned location-specific results. Users in other regions could encounter a different set of top results for the same queries. Finally, engagement metrics were not uniformly available across all platforms; in particular, Instagram view counts were not captured for all items, which limits the strength of engagement-quality correlations for that platform.</w:t>
      </w:r>
    </w:p>
    <w:p>
      <w:pPr>
        <w:spacing w:before="240" w:after="120" w:line="360" w:lineRule="auto"/>
        <w:jc w:val="left"/>
      </w:pPr>
      <w:r>
        <w:rPr>
          <w:rFonts w:ascii="Times New Roman" w:hAnsi="Times New Roman" w:cs="Times New Roman"/>
          <w:rFonts w:ascii="Times New Roman" w:hAnsi="Times New Roman"/>
          <w:b/>
          <w:i w:val="0"/>
          <w:sz w:val="24"/>
        </w:rPr>
        <w:t>4.6 Recommendations for Future Research</w:t>
      </w:r>
    </w:p>
    <w:p>
      <w:pPr>
        <w:spacing w:before="0" w:after="120" w:line="360" w:lineRule="auto"/>
        <w:ind w:firstLine="709"/>
        <w:jc w:val="both"/>
      </w:pPr>
      <w:r>
        <w:rPr>
          <w:rFonts w:ascii="Times New Roman" w:hAnsi="Times New Roman" w:cs="Times New Roman"/>
          <w:rFonts w:ascii="Times New Roman" w:hAnsi="Times New Roman"/>
          <w:b w:val="0"/>
          <w:i w:val="0"/>
          <w:sz w:val="24"/>
        </w:rPr>
        <w:t>Future research should address the limitations identified above while extending the scope of cross-platform quality assessment. First, longitudinal studies are needed to determine whether the observed quality gradient is stable over time or whether it shifts as platforms evolve their content policies and recommendation algorithms. Repeated assessments at regular intervals (e.g., every six months) would also reveal whether public health interventions targeting content quality produce measurable improvements.</w:t>
      </w:r>
    </w:p>
    <w:p>
      <w:pPr>
        <w:spacing w:before="0" w:after="120" w:line="360" w:lineRule="auto"/>
        <w:ind w:firstLine="709"/>
        <w:jc w:val="both"/>
      </w:pPr>
      <w:r>
        <w:rPr>
          <w:rFonts w:ascii="Times New Roman" w:hAnsi="Times New Roman" w:cs="Times New Roman"/>
          <w:rFonts w:ascii="Times New Roman" w:hAnsi="Times New Roman"/>
          <w:b w:val="0"/>
          <w:i w:val="0"/>
          <w:sz w:val="24"/>
        </w:rPr>
        <w:t>Second, studies should incorporate multilingual samples and diverse geographic search contexts to assess the generalisability of the present findings. The quality of PA information may vary substantially across languages and health systems, and cross-cultural comparisons would inform the design of context-appropriate interventions.</w:t>
      </w:r>
    </w:p>
    <w:p>
      <w:pPr>
        <w:spacing w:before="0" w:after="120" w:line="360" w:lineRule="auto"/>
        <w:ind w:firstLine="709"/>
        <w:jc w:val="both"/>
      </w:pPr>
      <w:r>
        <w:rPr>
          <w:rFonts w:ascii="Times New Roman" w:hAnsi="Times New Roman" w:cs="Times New Roman"/>
          <w:rFonts w:ascii="Times New Roman" w:hAnsi="Times New Roman"/>
          <w:b w:val="0"/>
          <w:i w:val="0"/>
          <w:sz w:val="24"/>
        </w:rPr>
        <w:t>Third, the development of quality assessment instruments specifically designed for audiovisual and short-form content would improve the validity of social media evaluations. While DISCERN remains the gold standard for written health information, its application to 15-second TikTok videos or image-only Instagram posts stretches the instrument beyond its intended use. A validated tool that accounts for the multimodal nature of social media content—including spoken narration, visual demonstrations, and on-screen text—would be a significant methodological advance.</w:t>
      </w:r>
    </w:p>
    <w:p>
      <w:pPr>
        <w:spacing w:before="0" w:after="120" w:line="360" w:lineRule="auto"/>
        <w:ind w:firstLine="709"/>
        <w:jc w:val="both"/>
      </w:pPr>
      <w:r>
        <w:rPr>
          <w:rFonts w:ascii="Times New Roman" w:hAnsi="Times New Roman" w:cs="Times New Roman"/>
          <w:rFonts w:ascii="Times New Roman" w:hAnsi="Times New Roman"/>
          <w:b w:val="0"/>
          <w:i w:val="0"/>
          <w:sz w:val="24"/>
        </w:rPr>
        <w:t>Fourth, experimental and quasi-experimental designs should examine the causal impact of information quality on health behaviour. The present study establishes that quality varies across platforms, but it cannot determine whether exposure to low-quality PA information leads to suboptimal exercise behaviours or, conversely, whether high-quality content promotes adherence to PA guidelines. Linking content quality data to user behaviour outcomes would strengthen the evidence base for quality-improvement interventions.</w:t>
      </w:r>
    </w:p>
    <w:p>
      <w:pPr>
        <w:spacing w:before="0" w:after="120" w:line="360" w:lineRule="auto"/>
        <w:ind w:firstLine="709"/>
        <w:jc w:val="both"/>
      </w:pPr>
      <w:r>
        <w:rPr>
          <w:rFonts w:ascii="Times New Roman" w:hAnsi="Times New Roman" w:cs="Times New Roman"/>
          <w:rFonts w:ascii="Times New Roman" w:hAnsi="Times New Roman"/>
          <w:b w:val="0"/>
          <w:i w:val="0"/>
          <w:sz w:val="24"/>
        </w:rPr>
        <w:t>Fifth, research should investigate the role of platform design features in shaping content quality. A/B testing of interface modifications—such as mandatory source-citation fields, credential-verification badges, or algorithmic boosts for referenced content—could identify practical mechanisms for improving health information quality at scale. Such studies would require collaboration with platform operators but could yield high-impact, population-level benefits.</w:t>
      </w:r>
    </w:p>
    <w:p>
      <w:pPr>
        <w:spacing w:before="0" w:after="120" w:line="360" w:lineRule="auto"/>
        <w:ind w:firstLine="709"/>
        <w:jc w:val="both"/>
      </w:pPr>
      <w:r>
        <w:rPr>
          <w:rFonts w:ascii="Times New Roman" w:hAnsi="Times New Roman" w:cs="Times New Roman"/>
          <w:rFonts w:ascii="Times New Roman" w:hAnsi="Times New Roman"/>
          <w:b w:val="0"/>
          <w:i w:val="0"/>
          <w:sz w:val="24"/>
        </w:rPr>
        <w:t>Finally, the relationship between engagement metrics and quality deserves deeper investigation using more granular data. Access to algorithmic ranking signals, watch time, completion rates, and share-to-view ratios—data that are not publicly available but may be accessible through platform research APIs—would enable more nuanced modelling of how recommendation systems interact with information quality. Understanding these dynamics is essential for designing interventions that align algorithmic incentives with public health objectives.</w:t>
      </w:r>
    </w:p>
    <w:p>
      <w:pPr>
        <w:spacing w:before="0" w:after="240" w:line="360" w:lineRule="auto"/>
        <w:jc w:val="center"/>
      </w:pPr>
      <w:r>
        <w:rPr>
          <w:rFonts w:ascii="Times New Roman" w:hAnsi="Times New Roman" w:cs="Times New Roman"/>
          <w:rFonts w:ascii="Times New Roman" w:hAnsi="Times New Roman"/>
          <w:b/>
          <w:i w:val="0"/>
          <w:sz w:val="28"/>
        </w:rPr>
        <w:t>5. CONCLUSIONS AND RECOMMENDATIONS</w:t>
      </w:r>
    </w:p>
    <w:p>
      <w:pPr>
        <w:spacing w:before="0" w:after="120" w:line="360" w:lineRule="auto"/>
        <w:ind w:firstLine="709"/>
        <w:jc w:val="both"/>
      </w:pPr>
      <w:r>
        <w:rPr>
          <w:rFonts w:ascii="Times New Roman" w:hAnsi="Times New Roman" w:cs="Times New Roman"/>
          <w:rFonts w:ascii="Times New Roman" w:hAnsi="Times New Roman"/>
          <w:b w:val="0"/>
          <w:i w:val="0"/>
          <w:sz w:val="24"/>
        </w:rPr>
        <w:t>This chapter synthesises the principal findings of the cross-sectional content analysis of 200 physical activity information sources across traditional websites, YouTube, TikTok, and Instagram. Conclusions are drawn in direct correspondence with the three research questions. Practical recommendations are offered for public health practitioners, health organisations, platform designers, educators, policymakers, and consumers. The chapter closes with directions for future research.</w:t>
      </w:r>
    </w:p>
    <w:p>
      <w:pPr>
        <w:spacing w:before="240" w:after="120" w:line="360" w:lineRule="auto"/>
        <w:jc w:val="left"/>
      </w:pPr>
      <w:r>
        <w:rPr>
          <w:rFonts w:ascii="Times New Roman" w:hAnsi="Times New Roman" w:cs="Times New Roman"/>
          <w:rFonts w:ascii="Times New Roman" w:hAnsi="Times New Roman"/>
          <w:b/>
          <w:i w:val="0"/>
          <w:sz w:val="24"/>
        </w:rPr>
        <w:t>5.1 Summary of Conclusions</w:t>
      </w:r>
    </w:p>
    <w:p>
      <w:pPr>
        <w:spacing w:before="120" w:after="60" w:line="360" w:lineRule="auto"/>
        <w:ind w:firstLine="709"/>
        <w:jc w:val="both"/>
      </w:pPr>
      <w:r>
        <w:rPr>
          <w:rFonts w:ascii="Times New Roman" w:hAnsi="Times New Roman" w:cs="Times New Roman"/>
          <w:rFonts w:ascii="Times New Roman" w:hAnsi="Times New Roman"/>
          <w:b/>
          <w:i w:val="0"/>
          <w:sz w:val="24"/>
        </w:rPr>
        <w:t>Research Question 1: Quality differences across platform types.</w:t>
      </w:r>
    </w:p>
    <w:p>
      <w:pPr>
        <w:spacing w:before="0" w:after="120" w:line="360" w:lineRule="auto"/>
        <w:ind w:firstLine="709"/>
        <w:jc w:val="both"/>
      </w:pPr>
      <w:r>
        <w:rPr>
          <w:rFonts w:ascii="Times New Roman" w:hAnsi="Times New Roman" w:cs="Times New Roman"/>
          <w:rFonts w:ascii="Times New Roman" w:hAnsi="Times New Roman"/>
          <w:b w:val="0"/>
          <w:i w:val="0"/>
          <w:sz w:val="24"/>
        </w:rPr>
        <w:t>The study confirms that statistically significant and practically meaningful quality differences exist across the four platform types examined. A Kruskal–Wallis test yielded H(3) = 136.58, p &lt; .001, with a large effect size (η² = .68), indicating that platform type alone accounts for approximately 68% of the variance in DISCERN total scores. Traditional websites achieved the highest median DISCERN score (Mdn = 48), placing them at the upper boundary of the “Fair” category and approaching “Good.” YouTube followed (Mdn = 39, “Poor”), then TikTok (Mdn = 31, “Very Poor” to “Poor”), and Instagram ranked lowest (Mdn = 21, “Very Poor”). These results establish a clear quality gradient: Websites &gt; YouTube &gt; TikTok &gt; Instagram.</w:t>
      </w:r>
    </w:p>
    <w:p>
      <w:pPr>
        <w:spacing w:before="0" w:after="120" w:line="360" w:lineRule="auto"/>
        <w:ind w:firstLine="709"/>
        <w:jc w:val="both"/>
      </w:pPr>
      <w:r>
        <w:rPr>
          <w:rFonts w:ascii="Times New Roman" w:hAnsi="Times New Roman" w:cs="Times New Roman"/>
          <w:rFonts w:ascii="Times New Roman" w:hAnsi="Times New Roman"/>
          <w:b w:val="0"/>
          <w:i w:val="0"/>
          <w:sz w:val="24"/>
        </w:rPr>
        <w:t>Notably, JAMA benchmark compliance was universally low across all four platforms, with an overall mean of only 1.4 out of 4 criteria met. Even traditional websites, which performed best on DISCERN, exhibited poor adherence to basic transparency standards such as authorship identification, source attribution, conflict-of-interest disclosure, and currency dating. This finding underscores that the quality deficit in online physical activity information is not confined to social media; rather, it reflects a systemic shortcoming in how health-related content is presented across the digital landscape.</w:t>
      </w:r>
    </w:p>
    <w:p>
      <w:pPr>
        <w:spacing w:before="120" w:after="60" w:line="360" w:lineRule="auto"/>
        <w:ind w:firstLine="709"/>
        <w:jc w:val="both"/>
      </w:pPr>
      <w:r>
        <w:rPr>
          <w:rFonts w:ascii="Times New Roman" w:hAnsi="Times New Roman" w:cs="Times New Roman"/>
          <w:rFonts w:ascii="Times New Roman" w:hAnsi="Times New Roman"/>
          <w:b/>
          <w:i w:val="0"/>
          <w:sz w:val="24"/>
        </w:rPr>
        <w:t>Research Question 2: Moderating role of creator type.</w:t>
      </w:r>
    </w:p>
    <w:p>
      <w:pPr>
        <w:spacing w:before="0" w:after="120" w:line="360" w:lineRule="auto"/>
        <w:ind w:firstLine="709"/>
        <w:jc w:val="both"/>
      </w:pPr>
      <w:r>
        <w:rPr>
          <w:rFonts w:ascii="Times New Roman" w:hAnsi="Times New Roman" w:cs="Times New Roman"/>
          <w:rFonts w:ascii="Times New Roman" w:hAnsi="Times New Roman"/>
          <w:b w:val="0"/>
          <w:i w:val="0"/>
          <w:sz w:val="24"/>
        </w:rPr>
        <w:t>Creator type significantly moderates information quality (p = .033), with professional creators—healthcare professionals and certified fitness professionals—producing content that scores higher on DISCERN than content from fitness influencers, general users, or organisational accounts. However, the effect size is small, suggesting that the platform on which content is published exerts a stronger influence on quality than the credentials of the creator. This conclusion carries an important practical implication: even well-qualified professionals may produce lower-quality content when constrained by the format limitations, algorithmic incentives, and audience expectations inherent to short-form social media platforms. Professional credentials are therefore a necessary but insufficient condition for high-quality health communication online.</w:t>
      </w:r>
    </w:p>
    <w:p>
      <w:pPr>
        <w:spacing w:before="120" w:after="60" w:line="360" w:lineRule="auto"/>
        <w:ind w:firstLine="709"/>
        <w:jc w:val="both"/>
      </w:pPr>
      <w:r>
        <w:rPr>
          <w:rFonts w:ascii="Times New Roman" w:hAnsi="Times New Roman" w:cs="Times New Roman"/>
          <w:rFonts w:ascii="Times New Roman" w:hAnsi="Times New Roman"/>
          <w:b/>
          <w:i w:val="0"/>
          <w:sz w:val="24"/>
        </w:rPr>
        <w:t>Research Question 3: Engagement–quality relationship.</w:t>
      </w:r>
    </w:p>
    <w:p>
      <w:pPr>
        <w:spacing w:before="0" w:after="120" w:line="360" w:lineRule="auto"/>
        <w:ind w:firstLine="709"/>
        <w:jc w:val="both"/>
      </w:pPr>
      <w:r>
        <w:rPr>
          <w:rFonts w:ascii="Times New Roman" w:hAnsi="Times New Roman" w:cs="Times New Roman"/>
          <w:rFonts w:ascii="Times New Roman" w:hAnsi="Times New Roman"/>
          <w:b w:val="0"/>
          <w:i w:val="0"/>
          <w:sz w:val="24"/>
        </w:rPr>
        <w:t>There is no meaningful association between engagement metrics and information quality. Spearman’s correlation between view counts and DISCERN total scores was negligible (ρ = .017), confirming that popular content is not necessarily accurate content. This decoupling of popularity from quality is particularly concerning on YouTube, where a negative trend was observed—videos with higher view counts tended to score lower on DISCERN. Platform recommendation algorithms, which prioritise engagement signals (watch time, likes, shares) over informational accuracy, may thus actively disadvantage high-quality health content. From a public health standpoint, this means that the content most people encounter and consume is statistically no better—and on YouTube, potentially worse—than content that remains obscure.</w:t>
      </w:r>
    </w:p>
    <w:p>
      <w:pPr>
        <w:spacing w:before="120" w:after="60" w:line="360" w:lineRule="auto"/>
        <w:ind w:firstLine="709"/>
        <w:jc w:val="both"/>
      </w:pPr>
      <w:r>
        <w:rPr>
          <w:rFonts w:ascii="Times New Roman" w:hAnsi="Times New Roman" w:cs="Times New Roman"/>
          <w:rFonts w:ascii="Times New Roman" w:hAnsi="Times New Roman"/>
          <w:b/>
          <w:i w:val="0"/>
          <w:sz w:val="24"/>
        </w:rPr>
        <w:t>Overarching conclusion.</w:t>
      </w:r>
    </w:p>
    <w:p>
      <w:pPr>
        <w:spacing w:before="0" w:after="120" w:line="360" w:lineRule="auto"/>
        <w:ind w:firstLine="709"/>
        <w:jc w:val="both"/>
      </w:pPr>
      <w:r>
        <w:rPr>
          <w:rFonts w:ascii="Times New Roman" w:hAnsi="Times New Roman" w:cs="Times New Roman"/>
          <w:rFonts w:ascii="Times New Roman" w:hAnsi="Times New Roman"/>
          <w:b w:val="0"/>
          <w:i w:val="0"/>
          <w:sz w:val="24"/>
        </w:rPr>
        <w:t>Taken together, these findings paint a sobering picture of the current state of physical activity information online. While traditional websites offer the most reliable information, even their quality is only “fair” by DISCERN standards, and their JAMA compliance is poor. Social media platforms—which are increasingly the primary source of health information for younger demographics—provide substantially lower quality content, irrespective of creator credentials. The absence of any link between engagement and quality means that platform algorithms offer no safeguard against misinformation. These conclusions reinforce the urgent need for multi-stakeholder interventions to improve the quality of physical activity information in the digital ecosystem.</w:t>
      </w:r>
    </w:p>
    <w:p>
      <w:pPr>
        <w:spacing w:before="240" w:after="120" w:line="360" w:lineRule="auto"/>
        <w:jc w:val="left"/>
      </w:pPr>
      <w:r>
        <w:rPr>
          <w:rFonts w:ascii="Times New Roman" w:hAnsi="Times New Roman" w:cs="Times New Roman"/>
          <w:rFonts w:ascii="Times New Roman" w:hAnsi="Times New Roman"/>
          <w:b/>
          <w:i w:val="0"/>
          <w:sz w:val="24"/>
        </w:rPr>
        <w:t>5.2 Practical Recommendations</w:t>
      </w:r>
    </w:p>
    <w:p>
      <w:pPr>
        <w:spacing w:before="0" w:after="120" w:line="360" w:lineRule="auto"/>
        <w:ind w:firstLine="709"/>
        <w:jc w:val="both"/>
      </w:pPr>
      <w:r>
        <w:rPr>
          <w:rFonts w:ascii="Times New Roman" w:hAnsi="Times New Roman" w:cs="Times New Roman"/>
          <w:rFonts w:ascii="Times New Roman" w:hAnsi="Times New Roman"/>
          <w:b w:val="0"/>
          <w:i w:val="0"/>
          <w:sz w:val="24"/>
        </w:rPr>
        <w:t>On the basis of the empirical evidence presented in this thesis, the following recommendations are offered to six stakeholder groups.</w:t>
      </w:r>
    </w:p>
    <w:p>
      <w:pPr>
        <w:spacing w:before="0" w:after="120" w:line="360" w:lineRule="auto"/>
        <w:ind w:firstLine="709"/>
        <w:jc w:val="both"/>
      </w:pPr>
      <w:r>
        <w:rPr>
          <w:rFonts w:ascii="Times New Roman" w:hAnsi="Times New Roman" w:cs="Times New Roman"/>
          <w:rFonts w:ascii="Times New Roman" w:hAnsi="Times New Roman"/>
          <w:b/>
          <w:i w:val="0"/>
          <w:sz w:val="24"/>
        </w:rPr>
        <w:t xml:space="preserve">For public health practitioners. </w:t>
      </w:r>
      <w:r>
        <w:rPr>
          <w:rFonts w:ascii="Times New Roman" w:hAnsi="Times New Roman" w:cs="Times New Roman"/>
          <w:rFonts w:ascii="Times New Roman" w:hAnsi="Times New Roman"/>
          <w:b w:val="0"/>
          <w:i w:val="0"/>
          <w:sz w:val="24"/>
        </w:rPr>
        <w:t>Clinicians, physiotherapists, and public health professionals should prioritise directing patients and clients to traditional websites maintained by established medical organisations (e.g., WHO, NHS, CDC) when recommending online physical activity resources. Where patients report reliance on social media, practitioners should provide curated lists of evidence-based accounts and explicitly discuss the quality limitations documented in this study.</w:t>
      </w:r>
    </w:p>
    <w:p>
      <w:pPr>
        <w:spacing w:before="0" w:after="120" w:line="360" w:lineRule="auto"/>
        <w:ind w:firstLine="709"/>
        <w:jc w:val="both"/>
      </w:pPr>
      <w:r>
        <w:rPr>
          <w:rFonts w:ascii="Times New Roman" w:hAnsi="Times New Roman" w:cs="Times New Roman"/>
          <w:rFonts w:ascii="Times New Roman" w:hAnsi="Times New Roman"/>
          <w:b/>
          <w:i w:val="0"/>
          <w:sz w:val="24"/>
        </w:rPr>
        <w:t xml:space="preserve">For health organisations. </w:t>
      </w:r>
      <w:r>
        <w:rPr>
          <w:rFonts w:ascii="Times New Roman" w:hAnsi="Times New Roman" w:cs="Times New Roman"/>
          <w:rFonts w:ascii="Times New Roman" w:hAnsi="Times New Roman"/>
          <w:b w:val="0"/>
          <w:i w:val="0"/>
          <w:sz w:val="24"/>
        </w:rPr>
        <w:t>Health authorities, professional bodies, and academic institutions should substantially increase their presence on social media platforms, particularly TikTok and Instagram, which currently exhibit the lowest information quality. Content strategies should be tailored to platform-specific norms—short, visually engaging, and algorithm-friendly—without sacrificing scientific accuracy. Partnering with credentialed fitness professionals who already have established audiences may offer a pragmatic route to scaling evidence-based content.</w:t>
      </w:r>
    </w:p>
    <w:p>
      <w:pPr>
        <w:spacing w:before="0" w:after="120" w:line="360" w:lineRule="auto"/>
        <w:ind w:firstLine="709"/>
        <w:jc w:val="both"/>
      </w:pPr>
      <w:r>
        <w:rPr>
          <w:rFonts w:ascii="Times New Roman" w:hAnsi="Times New Roman" w:cs="Times New Roman"/>
          <w:rFonts w:ascii="Times New Roman" w:hAnsi="Times New Roman"/>
          <w:b/>
          <w:i w:val="0"/>
          <w:sz w:val="24"/>
        </w:rPr>
        <w:t xml:space="preserve">For platform designers. </w:t>
      </w:r>
      <w:r>
        <w:rPr>
          <w:rFonts w:ascii="Times New Roman" w:hAnsi="Times New Roman" w:cs="Times New Roman"/>
          <w:rFonts w:ascii="Times New Roman" w:hAnsi="Times New Roman"/>
          <w:b w:val="0"/>
          <w:i w:val="0"/>
          <w:sz w:val="24"/>
        </w:rPr>
        <w:t>Social media companies should consider implementing quality indicators or verification badges specifically for health content creators with documented professional credentials. Algorithmic adjustments that factor in source credibility—not merely engagement metrics—when recommending health-related content could meaningfully shift the quality landscape. Transparency features such as mandatory source citation fields for health-tagged content would address the universally low JAMA compliance observed across platforms.</w:t>
      </w:r>
    </w:p>
    <w:p>
      <w:pPr>
        <w:spacing w:before="0" w:after="120" w:line="360" w:lineRule="auto"/>
        <w:ind w:firstLine="709"/>
        <w:jc w:val="both"/>
      </w:pPr>
      <w:r>
        <w:rPr>
          <w:rFonts w:ascii="Times New Roman" w:hAnsi="Times New Roman" w:cs="Times New Roman"/>
          <w:rFonts w:ascii="Times New Roman" w:hAnsi="Times New Roman"/>
          <w:b/>
          <w:i w:val="0"/>
          <w:sz w:val="24"/>
        </w:rPr>
        <w:t xml:space="preserve">For health literacy educators. </w:t>
      </w:r>
      <w:r>
        <w:rPr>
          <w:rFonts w:ascii="Times New Roman" w:hAnsi="Times New Roman" w:cs="Times New Roman"/>
          <w:rFonts w:ascii="Times New Roman" w:hAnsi="Times New Roman"/>
          <w:b w:val="0"/>
          <w:i w:val="0"/>
          <w:sz w:val="24"/>
        </w:rPr>
        <w:t>Digital health literacy curricula should teach critical evaluation skills specific to each platform type. The finding that engagement does not predict quality is a particularly teachable insight: students and the public must understand that viral content is not validated content. Frameworks such as eHEALS (Norman &amp; Skinner, 2006) and the CRAAP test should be adapted to include platform-specific red flags (e.g., absence of source citations in video descriptions, lack of professional credentials in creator bios).</w:t>
      </w:r>
    </w:p>
    <w:p>
      <w:pPr>
        <w:spacing w:before="0" w:after="120" w:line="360" w:lineRule="auto"/>
        <w:ind w:firstLine="709"/>
        <w:jc w:val="both"/>
      </w:pPr>
      <w:r>
        <w:rPr>
          <w:rFonts w:ascii="Times New Roman" w:hAnsi="Times New Roman" w:cs="Times New Roman"/>
          <w:rFonts w:ascii="Times New Roman" w:hAnsi="Times New Roman"/>
          <w:b/>
          <w:i w:val="0"/>
          <w:sz w:val="24"/>
        </w:rPr>
        <w:t xml:space="preserve">For policymakers. </w:t>
      </w:r>
      <w:r>
        <w:rPr>
          <w:rFonts w:ascii="Times New Roman" w:hAnsi="Times New Roman" w:cs="Times New Roman"/>
          <w:rFonts w:ascii="Times New Roman" w:hAnsi="Times New Roman"/>
          <w:b w:val="0"/>
          <w:i w:val="0"/>
          <w:sz w:val="24"/>
        </w:rPr>
        <w:t>Regulatory bodies should develop platform-specific guidelines for health information quality. Current regulatory frameworks were designed for traditional media and do not adequately address the unique characteristics of short-form video, image-based posts, or algorithm-driven content distribution. Minimum disclosure requirements—analogous to JAMA benchmarks—should be considered for health-related social media content, particularly regarding authorship credentials, evidence sourcing, and sponsorship transparency.</w:t>
      </w:r>
    </w:p>
    <w:p>
      <w:pPr>
        <w:spacing w:before="0" w:after="120" w:line="360" w:lineRule="auto"/>
        <w:ind w:firstLine="709"/>
        <w:jc w:val="both"/>
      </w:pPr>
      <w:r>
        <w:rPr>
          <w:rFonts w:ascii="Times New Roman" w:hAnsi="Times New Roman" w:cs="Times New Roman"/>
          <w:rFonts w:ascii="Times New Roman" w:hAnsi="Times New Roman"/>
          <w:b/>
          <w:i w:val="0"/>
          <w:sz w:val="24"/>
        </w:rPr>
        <w:t xml:space="preserve">For consumers. </w:t>
      </w:r>
      <w:r>
        <w:rPr>
          <w:rFonts w:ascii="Times New Roman" w:hAnsi="Times New Roman" w:cs="Times New Roman"/>
          <w:rFonts w:ascii="Times New Roman" w:hAnsi="Times New Roman"/>
          <w:b w:val="0"/>
          <w:i w:val="0"/>
          <w:sz w:val="24"/>
        </w:rPr>
        <w:t>Individuals seeking physical activity information online should cross-reference social media health claims with established medical websites before acting on them. Content that lacks identifiable author credentials, cites no sources, and does not disclose sponsorship should be treated with caution regardless of how many views or likes it has accumulated. Preferencing content from verified healthcare or certified fitness professionals—while not a guarantee of quality—does offer a statistically better starting point.</w:t>
      </w:r>
    </w:p>
    <w:p>
      <w:pPr>
        <w:spacing w:before="240" w:after="120" w:line="360" w:lineRule="auto"/>
        <w:jc w:val="left"/>
      </w:pPr>
      <w:r>
        <w:rPr>
          <w:rFonts w:ascii="Times New Roman" w:hAnsi="Times New Roman" w:cs="Times New Roman"/>
          <w:rFonts w:ascii="Times New Roman" w:hAnsi="Times New Roman"/>
          <w:b/>
          <w:i w:val="0"/>
          <w:sz w:val="24"/>
        </w:rPr>
        <w:t>5.3 Recommendations for Future Research</w:t>
      </w:r>
    </w:p>
    <w:p>
      <w:pPr>
        <w:spacing w:before="0" w:after="120" w:line="360" w:lineRule="auto"/>
        <w:ind w:firstLine="709"/>
        <w:jc w:val="both"/>
      </w:pPr>
      <w:r>
        <w:rPr>
          <w:rFonts w:ascii="Times New Roman" w:hAnsi="Times New Roman" w:cs="Times New Roman"/>
          <w:rFonts w:ascii="Times New Roman" w:hAnsi="Times New Roman"/>
          <w:b w:val="0"/>
          <w:i w:val="0"/>
          <w:sz w:val="24"/>
        </w:rPr>
        <w:t>While this study provides a comprehensive cross-platform snapshot, several avenues warrant further investigation.</w:t>
      </w:r>
    </w:p>
    <w:p>
      <w:pPr>
        <w:spacing w:before="0" w:after="120" w:line="360" w:lineRule="auto"/>
        <w:ind w:firstLine="709"/>
        <w:jc w:val="both"/>
      </w:pPr>
      <w:r>
        <w:rPr>
          <w:rFonts w:ascii="Times New Roman" w:hAnsi="Times New Roman" w:cs="Times New Roman"/>
          <w:rFonts w:ascii="Times New Roman" w:hAnsi="Times New Roman"/>
          <w:b/>
          <w:i w:val="0"/>
          <w:sz w:val="24"/>
        </w:rPr>
        <w:t xml:space="preserve">Longitudinal monitoring. </w:t>
      </w:r>
      <w:r>
        <w:rPr>
          <w:rFonts w:ascii="Times New Roman" w:hAnsi="Times New Roman" w:cs="Times New Roman"/>
          <w:rFonts w:ascii="Times New Roman" w:hAnsi="Times New Roman"/>
          <w:b w:val="0"/>
          <w:i w:val="0"/>
          <w:sz w:val="24"/>
        </w:rPr>
        <w:t>The present study captured a single time point. Future research should track quality changes over time to determine whether platform-level trends are improving, stagnating, or deteriorating. Repeated cross-sectional designs at 6- or 12-month intervals would enable trend analysis and provide evidence for or against the effectiveness of platform policy changes.</w:t>
      </w:r>
    </w:p>
    <w:p>
      <w:pPr>
        <w:spacing w:before="0" w:after="120" w:line="360" w:lineRule="auto"/>
        <w:ind w:firstLine="709"/>
        <w:jc w:val="both"/>
      </w:pPr>
      <w:r>
        <w:rPr>
          <w:rFonts w:ascii="Times New Roman" w:hAnsi="Times New Roman" w:cs="Times New Roman"/>
          <w:rFonts w:ascii="Times New Roman" w:hAnsi="Times New Roman"/>
          <w:b/>
          <w:i w:val="0"/>
          <w:sz w:val="24"/>
        </w:rPr>
        <w:t xml:space="preserve">Multi-language and cross-cultural studies. </w:t>
      </w:r>
      <w:r>
        <w:rPr>
          <w:rFonts w:ascii="Times New Roman" w:hAnsi="Times New Roman" w:cs="Times New Roman"/>
          <w:rFonts w:ascii="Times New Roman" w:hAnsi="Times New Roman"/>
          <w:b w:val="0"/>
          <w:i w:val="0"/>
          <w:sz w:val="24"/>
        </w:rPr>
        <w:t>This study was limited to English-language content. Given that information quality may vary substantially by language and cultural context, replication in other languages—particularly in low- and middle-income country settings where social media may be the only accessible health information source—is essential for global public health planning.</w:t>
      </w:r>
    </w:p>
    <w:p>
      <w:pPr>
        <w:spacing w:before="0" w:after="120" w:line="360" w:lineRule="auto"/>
        <w:ind w:firstLine="709"/>
        <w:jc w:val="both"/>
      </w:pPr>
      <w:r>
        <w:rPr>
          <w:rFonts w:ascii="Times New Roman" w:hAnsi="Times New Roman" w:cs="Times New Roman"/>
          <w:rFonts w:ascii="Times New Roman" w:hAnsi="Times New Roman"/>
          <w:b/>
          <w:i w:val="0"/>
          <w:sz w:val="24"/>
        </w:rPr>
        <w:t xml:space="preserve">Algorithmic impact studies. </w:t>
      </w:r>
      <w:r>
        <w:rPr>
          <w:rFonts w:ascii="Times New Roman" w:hAnsi="Times New Roman" w:cs="Times New Roman"/>
          <w:rFonts w:ascii="Times New Roman" w:hAnsi="Times New Roman"/>
          <w:b w:val="0"/>
          <w:i w:val="0"/>
          <w:sz w:val="24"/>
        </w:rPr>
        <w:t>This study assessed the top 10 results per search term but did not manipulate or control for algorithmic personalisation. Future research using standardised or “clean” accounts (no prior search history) across multiple geographic locations would isolate the role of platform algorithms in shaping which quality tier of content users are most likely to encounter.</w:t>
      </w:r>
    </w:p>
    <w:p>
      <w:pPr>
        <w:spacing w:before="0" w:after="120" w:line="360" w:lineRule="auto"/>
        <w:ind w:firstLine="709"/>
        <w:jc w:val="both"/>
      </w:pPr>
      <w:r>
        <w:rPr>
          <w:rFonts w:ascii="Times New Roman" w:hAnsi="Times New Roman" w:cs="Times New Roman"/>
          <w:rFonts w:ascii="Times New Roman" w:hAnsi="Times New Roman"/>
          <w:b/>
          <w:i w:val="0"/>
          <w:sz w:val="24"/>
        </w:rPr>
        <w:t xml:space="preserve">Intervention studies. </w:t>
      </w:r>
      <w:r>
        <w:rPr>
          <w:rFonts w:ascii="Times New Roman" w:hAnsi="Times New Roman" w:cs="Times New Roman"/>
          <w:rFonts w:ascii="Times New Roman" w:hAnsi="Times New Roman"/>
          <w:b w:val="0"/>
          <w:i w:val="0"/>
          <w:sz w:val="24"/>
        </w:rPr>
        <w:t>Having established the quality baseline, experimental research is needed to test whether targeted interventions—such as creator training programmes, platform labelling systems, or algorithm modifications—can measurably improve social media health content quality. Randomised controlled trials comparing pre- and post-intervention quality scores would provide the strongest evidence base for policy recommendations.</w:t>
      </w:r>
    </w:p>
    <w:p>
      <w:pPr>
        <w:spacing w:before="0" w:after="120" w:line="360" w:lineRule="auto"/>
        <w:ind w:firstLine="709"/>
        <w:jc w:val="both"/>
      </w:pPr>
      <w:r>
        <w:rPr>
          <w:rFonts w:ascii="Times New Roman" w:hAnsi="Times New Roman" w:cs="Times New Roman"/>
          <w:rFonts w:ascii="Times New Roman" w:hAnsi="Times New Roman"/>
          <w:b/>
          <w:i w:val="0"/>
          <w:sz w:val="24"/>
        </w:rPr>
        <w:t xml:space="preserve">User perception and behavioural studies. </w:t>
      </w:r>
      <w:r>
        <w:rPr>
          <w:rFonts w:ascii="Times New Roman" w:hAnsi="Times New Roman" w:cs="Times New Roman"/>
          <w:rFonts w:ascii="Times New Roman" w:hAnsi="Times New Roman"/>
          <w:b w:val="0"/>
          <w:i w:val="0"/>
          <w:sz w:val="24"/>
        </w:rPr>
        <w:t>A critical gap remains in understanding whether consumers can recognise the quality differences documented here. Mixed-methods research pairing quality assessments with user surveys or think-aloud protocols would reveal the extent to which audiences distinguish high- from low-quality physical activity content and how quality perceptions influence health behaviour.</w:t>
      </w:r>
    </w:p>
    <w:p>
      <w:pPr>
        <w:spacing w:before="0" w:after="120" w:line="360" w:lineRule="auto"/>
        <w:ind w:firstLine="709"/>
        <w:jc w:val="both"/>
      </w:pPr>
      <w:r>
        <w:rPr>
          <w:rFonts w:ascii="Times New Roman" w:hAnsi="Times New Roman" w:cs="Times New Roman"/>
          <w:rFonts w:ascii="Times New Roman" w:hAnsi="Times New Roman"/>
          <w:b/>
          <w:i w:val="0"/>
          <w:sz w:val="24"/>
        </w:rPr>
        <w:t xml:space="preserve">Platform-specific quality instruments. </w:t>
      </w:r>
      <w:r>
        <w:rPr>
          <w:rFonts w:ascii="Times New Roman" w:hAnsi="Times New Roman" w:cs="Times New Roman"/>
          <w:rFonts w:ascii="Times New Roman" w:hAnsi="Times New Roman"/>
          <w:b w:val="0"/>
          <w:i w:val="0"/>
          <w:sz w:val="24"/>
        </w:rPr>
        <w:t>DISCERN was originally designed to evaluate written treatment information. Although its adaptation to multimedia content in this study was systematic, the development and validation of quality assessment tools designed natively for short-form video (TikTok, Instagram Reels) and image-based formats would strengthen future research. Such instruments should incorporate visual accuracy, demonstration safety, and accessibility features alongside traditional textual quality criteria.</w:t>
      </w:r>
    </w:p>
    <w:p>
      <w:pPr>
        <w:spacing w:before="120" w:after="240" w:line="360" w:lineRule="auto"/>
        <w:ind w:firstLine="709"/>
        <w:jc w:val="both"/>
      </w:pPr>
      <w:r>
        <w:rPr>
          <w:rFonts w:ascii="Times New Roman" w:hAnsi="Times New Roman" w:cs="Times New Roman"/>
          <w:rFonts w:ascii="Times New Roman" w:hAnsi="Times New Roman"/>
          <w:b w:val="0"/>
          <w:i w:val="0"/>
          <w:sz w:val="24"/>
        </w:rPr>
        <w:t>In conclusion, this study provides robust empirical evidence that the quality of physical activity information varies dramatically across digital platforms, is only partially moderated by creator credentials, and bears no relationship to content popularity. These findings carry direct implications for how public health professionals guide patients, how organisations communicate evidence, and how platforms govern health content. Addressing the quality gap will require coordinated action across clinical practice, digital literacy education, platform governance, and regulatory policy.</w:t>
      </w:r>
    </w:p>
    <w:p>
      <w:pPr>
        <w:pStyle w:val="Heading1"/>
      </w:pPr>
      <w:r>
        <w:rPr>
          <w:rFonts w:ascii="Times New Roman" w:hAnsi="Times New Roman"/>
          <w:color w:val="000000"/>
        </w:rPr>
        <w:t>REFERENCES</w:t>
      </w:r>
    </w:p>
    <w:p/>
    <w:p>
      <w:pPr>
        <w:spacing w:line="360" w:lineRule="auto"/>
        <w:ind w:left="720" w:hanging="720"/>
        <w:jc w:val="both"/>
      </w:pPr>
      <w:r>
        <w:rPr>
          <w:rFonts w:ascii="Times New Roman" w:hAnsi="Times New Roman"/>
          <w:sz w:val="24"/>
        </w:rPr>
        <w:t>Avram, M., Micallef, N., Patil, S., &amp; Menczer, F. (2020). Exposure to social engagement metrics increases vulnerability to misinformation. Harvard Kennedy School Misinformation Review, 1(5). https://doi.org/10.37016/mr-2020-033</w:t>
      </w:r>
    </w:p>
    <w:p>
      <w:pPr>
        <w:spacing w:line="360" w:lineRule="auto"/>
        <w:ind w:left="720" w:hanging="720"/>
        <w:jc w:val="both"/>
      </w:pPr>
      <w:r>
        <w:rPr>
          <w:rFonts w:ascii="Times New Roman" w:hAnsi="Times New Roman"/>
          <w:sz w:val="24"/>
        </w:rPr>
        <w:t>Azer, S. A. (2020). Are DISCERN and JAMA suitable instruments for assessing YouTube videos on thyroid cancer? Methodological concerns. Journal of Cancer Education, 35(6), 1267–1277.</w:t>
      </w:r>
    </w:p>
    <w:p>
      <w:pPr>
        <w:spacing w:line="360" w:lineRule="auto"/>
        <w:ind w:left="720" w:hanging="720"/>
        <w:jc w:val="both"/>
      </w:pPr>
      <w:r>
        <w:rPr>
          <w:rFonts w:ascii="Times New Roman" w:hAnsi="Times New Roman"/>
          <w:sz w:val="24"/>
        </w:rPr>
        <w:t>Bernard, A., Langille, M., Hughes, S., Rose, C., Leddin, D., &amp; Veldhuyzen van Zanten, S. (2007). A systematic review of patient inflammatory bowel disease information resources on the World Wide Web. American Journal of Gastroenterology, 102(9), 2070–2077. https://doi.org/10.1111/j.1572-0241.2007.01325.x</w:t>
      </w:r>
    </w:p>
    <w:p>
      <w:pPr>
        <w:spacing w:line="360" w:lineRule="auto"/>
        <w:ind w:left="720" w:hanging="720"/>
        <w:jc w:val="both"/>
      </w:pPr>
      <w:r>
        <w:rPr>
          <w:rFonts w:ascii="Times New Roman" w:hAnsi="Times New Roman"/>
          <w:sz w:val="24"/>
        </w:rPr>
        <w:t>Blakeslee, S. (2004). The CRAAP test. LOEX Quarterly, 31(3), 6–7. https://commons.emich.edu/loexquarterly/vol31/iss3/4</w:t>
      </w:r>
    </w:p>
    <w:p>
      <w:pPr>
        <w:spacing w:line="360" w:lineRule="auto"/>
        <w:ind w:left="720" w:hanging="720"/>
        <w:jc w:val="both"/>
      </w:pPr>
      <w:r>
        <w:rPr>
          <w:rFonts w:ascii="Times New Roman" w:hAnsi="Times New Roman"/>
          <w:sz w:val="24"/>
        </w:rPr>
        <w:t>Boyer, C., Baujard, V., &amp; Geissbuhler, A. (2011). Evolution of health web certification through the HONcode experience. Studies in Health Technology and Informatics, 169, 53–57. https://doi.org/10.3233/978-1-60750-806-9-53</w:t>
      </w:r>
    </w:p>
    <w:p>
      <w:pPr>
        <w:spacing w:line="360" w:lineRule="auto"/>
        <w:ind w:left="720" w:hanging="720"/>
        <w:jc w:val="both"/>
      </w:pPr>
      <w:r>
        <w:rPr>
          <w:rFonts w:ascii="Times New Roman" w:hAnsi="Times New Roman"/>
          <w:sz w:val="24"/>
        </w:rPr>
        <w:t>Charnock, D., Shepperd, S., Needham, G., &amp; Gann, R. (1999). DISCERN: An instrument for judging the quality of written consumer health information on treatment choices. Journal of Epidemiology and Community Health, 53(2), 105–111. https://doi.org/10.1136/jech.53.2.105</w:t>
      </w:r>
    </w:p>
    <w:p>
      <w:pPr>
        <w:spacing w:line="360" w:lineRule="auto"/>
        <w:ind w:left="720" w:hanging="720"/>
        <w:jc w:val="both"/>
      </w:pPr>
      <w:r>
        <w:rPr>
          <w:rFonts w:ascii="Times New Roman" w:hAnsi="Times New Roman"/>
          <w:sz w:val="24"/>
        </w:rPr>
        <w:t>Chea, C. Y., &amp; Lim, P. K. (2023). Quality and accuracy of dental health-related information on social media: A systematic review. Journal of Dental Sciences, 18(3), 1070–1079.</w:t>
      </w:r>
    </w:p>
    <w:p>
      <w:pPr>
        <w:spacing w:line="360" w:lineRule="auto"/>
        <w:ind w:left="720" w:hanging="720"/>
        <w:jc w:val="both"/>
      </w:pPr>
      <w:r>
        <w:rPr>
          <w:rFonts w:ascii="Times New Roman" w:hAnsi="Times New Roman"/>
          <w:sz w:val="24"/>
        </w:rPr>
        <w:t>Chen, S., Tang, Y., Zhang, Y., Liu, Z., Zhong, Y., Fang, H., Xu, Y., Sun, J., &amp; Zhang, Y. (2025). Quality of cancer-related information on new media (2014–2023): Systematic review and meta-analysis. Journal of Medical Internet Research, 27(1), e73185. https://doi.org/10.2196/73185</w:t>
      </w:r>
    </w:p>
    <w:p>
      <w:pPr>
        <w:spacing w:line="360" w:lineRule="auto"/>
        <w:ind w:left="720" w:hanging="720"/>
        <w:jc w:val="both"/>
      </w:pPr>
      <w:r>
        <w:rPr>
          <w:rFonts w:ascii="Times New Roman" w:hAnsi="Times New Roman"/>
          <w:sz w:val="24"/>
        </w:rPr>
        <w:t>Cooke, A., Smith, D., &amp; Booth, A. (2012). Beyond PICO: The SPIDER tool for qualitative evidence synthesis. Qualitative Health Research, 22(10), 1435–1443. https://doi.org/10.1177/1049732312452938</w:t>
      </w:r>
    </w:p>
    <w:p>
      <w:pPr>
        <w:spacing w:line="360" w:lineRule="auto"/>
        <w:ind w:left="720" w:hanging="720"/>
        <w:jc w:val="both"/>
      </w:pPr>
      <w:r>
        <w:rPr>
          <w:rFonts w:ascii="Times New Roman" w:hAnsi="Times New Roman"/>
          <w:sz w:val="24"/>
        </w:rPr>
        <w:t>Czenczek-Lewandowska, E., Leszczak, J., Mazur, A., &amp; Rak, S. (2022). Review of the quality of YouTube videos recommending exercises for the COVID-19 lockdown. International Journal of Environmental Research and Public Health, 19(10), 6348. https://doi.org/10.3390/ijerph19106348</w:t>
      </w:r>
    </w:p>
    <w:p>
      <w:pPr>
        <w:spacing w:line="360" w:lineRule="auto"/>
        <w:ind w:left="720" w:hanging="720"/>
        <w:jc w:val="both"/>
      </w:pPr>
      <w:r>
        <w:rPr>
          <w:rFonts w:ascii="Times New Roman" w:hAnsi="Times New Roman"/>
          <w:sz w:val="24"/>
        </w:rPr>
        <w:t>Daraz, L., Morrow, A. S., Ponce, O. J., Farah, W., Katabi, A., Majzoub, A., Seisa, M. O., Benkhadra, R., Alsawas, M., Larry, P., &amp; Murad, M. H. (2019). Can patients trust online health information? A meta-narrative systematic review addressing the quality of health information on the internet. Journal of General Internal Medicine, 34(9), 1884–1891. https://doi.org/10.1007/s11606-019-05109-0</w:t>
      </w:r>
    </w:p>
    <w:p>
      <w:pPr>
        <w:spacing w:line="360" w:lineRule="auto"/>
        <w:ind w:left="720" w:hanging="720"/>
        <w:jc w:val="both"/>
      </w:pPr>
      <w:r>
        <w:rPr>
          <w:rFonts w:ascii="Times New Roman" w:hAnsi="Times New Roman"/>
          <w:sz w:val="24"/>
        </w:rPr>
        <w:t>Dinis-Oliveira, R. J. (2020). COVID-19 research: Pandemic versus “paperdemic,” integrity, values and risks of the “publish or perish” pressure. Forensic Sciences Research, 5(4), 279–284.</w:t>
      </w:r>
    </w:p>
    <w:p>
      <w:pPr>
        <w:spacing w:line="360" w:lineRule="auto"/>
        <w:ind w:left="720" w:hanging="720"/>
        <w:jc w:val="both"/>
      </w:pPr>
      <w:r>
        <w:rPr>
          <w:rFonts w:ascii="Times New Roman" w:hAnsi="Times New Roman"/>
          <w:sz w:val="24"/>
        </w:rPr>
        <w:t>Diviani, N., van den Putte, B., Giani, S., &amp; van Weert, J. C. (2015). Low health literacy and evaluation of online health information: A systematic review of the literature. Journal of Medical Internet Research, 17(5), e112. https://doi.org/10.2196/jmir.4018</w:t>
      </w:r>
    </w:p>
    <w:p>
      <w:pPr>
        <w:spacing w:line="360" w:lineRule="auto"/>
        <w:ind w:left="720" w:hanging="720"/>
        <w:jc w:val="both"/>
      </w:pPr>
      <w:r>
        <w:rPr>
          <w:rFonts w:ascii="Times New Roman" w:hAnsi="Times New Roman"/>
          <w:sz w:val="24"/>
        </w:rPr>
        <w:t>Dos Santos, M. A., Grosso, A. R., &amp; Almeida, C. F. (2021). Is social media spreading misinformation on exercise and health in Brazil? International Journal of Environmental Research and Public Health, 18(22), 11914. https://doi.org/10.3390/ijerph182211914</w:t>
      </w:r>
    </w:p>
    <w:p>
      <w:pPr>
        <w:spacing w:line="360" w:lineRule="auto"/>
        <w:ind w:left="720" w:hanging="720"/>
        <w:jc w:val="both"/>
      </w:pPr>
      <w:r>
        <w:rPr>
          <w:rFonts w:ascii="Times New Roman" w:hAnsi="Times New Roman"/>
          <w:sz w:val="24"/>
        </w:rPr>
        <w:t>Eysenbach, G., Powell, J., Kuss, O., &amp; Sa, E. R. (2002). Empirical studies assessing the quality of health information for consumers on the World Wide Web: A systematic review. JAMA, 287(20), 2691–2700. https://doi.org/10.1001/jama.287.20.2691</w:t>
      </w:r>
    </w:p>
    <w:p>
      <w:pPr>
        <w:spacing w:line="360" w:lineRule="auto"/>
        <w:ind w:left="720" w:hanging="720"/>
        <w:jc w:val="both"/>
      </w:pPr>
      <w:r>
        <w:rPr>
          <w:rFonts w:ascii="Times New Roman" w:hAnsi="Times New Roman"/>
          <w:sz w:val="24"/>
        </w:rPr>
        <w:t>Finney Rutten, L. J., Blake, K. D., Greenberg-Worisek, A. J., Allen, S. V., Moser, R. P., &amp; Hesse, B. W. (2019). Online health information seeking among US adults: Measuring progress toward a Healthy People 2020 objective. Public Health Reports, 134(6), 617–625. https://doi.org/10.1177/0033354919874074</w:t>
      </w:r>
    </w:p>
    <w:p>
      <w:pPr>
        <w:spacing w:line="360" w:lineRule="auto"/>
        <w:ind w:left="720" w:hanging="720"/>
        <w:jc w:val="both"/>
      </w:pPr>
      <w:r>
        <w:rPr>
          <w:rFonts w:ascii="Times New Roman" w:hAnsi="Times New Roman"/>
          <w:sz w:val="24"/>
        </w:rPr>
        <w:t>Fox, S., &amp; Duggan, M. (2013). Health online 2013. Pew Internet and American Life Project. https://www.pewresearch.org/internet/2013/01/15/health-online-2013-2/</w:t>
      </w:r>
    </w:p>
    <w:p>
      <w:pPr>
        <w:spacing w:line="360" w:lineRule="auto"/>
        <w:ind w:left="720" w:hanging="720"/>
        <w:jc w:val="both"/>
      </w:pPr>
      <w:r>
        <w:rPr>
          <w:rFonts w:ascii="Times New Roman" w:hAnsi="Times New Roman"/>
          <w:sz w:val="24"/>
        </w:rPr>
        <w:t>Haghighi, R., &amp; Farhadloo, M. (2025). Quality assessment of health information on social media during a public health crisis: Infodemiology study. JMIR Infodemiology, 5(1), e70756. https://doi.org/10.2196/70756</w:t>
      </w:r>
    </w:p>
    <w:p>
      <w:pPr>
        <w:spacing w:line="360" w:lineRule="auto"/>
        <w:ind w:left="720" w:hanging="720"/>
        <w:jc w:val="both"/>
      </w:pPr>
      <w:r>
        <w:rPr>
          <w:rFonts w:ascii="Times New Roman" w:hAnsi="Times New Roman"/>
          <w:sz w:val="24"/>
        </w:rPr>
        <w:t>Kbaier, D., Kalra, P. A., &amp; Alderson, H. V. (2024). Social media health misinformation: Characteristics of sharers and non-sharers. JMIR Infodemiology, 4, e45459.</w:t>
      </w:r>
    </w:p>
    <w:p>
      <w:pPr>
        <w:spacing w:line="360" w:lineRule="auto"/>
        <w:ind w:left="720" w:hanging="720"/>
        <w:jc w:val="both"/>
      </w:pPr>
      <w:r>
        <w:rPr>
          <w:rFonts w:ascii="Times New Roman" w:hAnsi="Times New Roman"/>
          <w:sz w:val="24"/>
        </w:rPr>
        <w:t>Kocyigit, B. F., Akyol, A., &amp; Gundogdu, A. A. (2024). YouTube as a source of information about ankylosing spondylitis exercises. Journal of Education and Health Promotion, 13, 23.</w:t>
      </w:r>
    </w:p>
    <w:p>
      <w:pPr>
        <w:spacing w:line="360" w:lineRule="auto"/>
        <w:ind w:left="720" w:hanging="720"/>
        <w:jc w:val="both"/>
      </w:pPr>
      <w:r>
        <w:rPr>
          <w:rFonts w:ascii="Times New Roman" w:hAnsi="Times New Roman"/>
          <w:sz w:val="24"/>
        </w:rPr>
        <w:t>Kong, W., Song, S., Zhao, Y. C., Zhu, Q., &amp; Sha, L. (2024). TikTok as a health information source: Assessment of the quality of information in diabetes-related videos. Journal of Medical Internet Research, 26, e49592.</w:t>
      </w:r>
    </w:p>
    <w:p>
      <w:pPr>
        <w:spacing w:line="360" w:lineRule="auto"/>
        <w:ind w:left="720" w:hanging="720"/>
        <w:jc w:val="both"/>
      </w:pPr>
      <w:r>
        <w:rPr>
          <w:rFonts w:ascii="Times New Roman" w:hAnsi="Times New Roman"/>
          <w:sz w:val="24"/>
        </w:rPr>
        <w:t>Koo, T. K., &amp; Li, M. Y. (2016). A guideline of selecting and reporting intraclass correlation coefficients for reliability research. Journal of Chiropractic Medicine, 15(2), 155–163. https://doi.org/10.1016/j.jcm.2016.02.012</w:t>
      </w:r>
    </w:p>
    <w:p>
      <w:pPr>
        <w:spacing w:line="360" w:lineRule="auto"/>
        <w:ind w:left="720" w:hanging="720"/>
        <w:jc w:val="both"/>
      </w:pPr>
      <w:r>
        <w:rPr>
          <w:rFonts w:ascii="Times New Roman" w:hAnsi="Times New Roman"/>
          <w:sz w:val="24"/>
        </w:rPr>
        <w:t>Krippendorff, K. (2018). Content analysis: An introduction to its methodology (4th ed.). SAGE Publications.</w:t>
      </w:r>
    </w:p>
    <w:p>
      <w:pPr>
        <w:spacing w:line="360" w:lineRule="auto"/>
        <w:ind w:left="720" w:hanging="720"/>
        <w:jc w:val="both"/>
      </w:pPr>
      <w:r>
        <w:rPr>
          <w:rFonts w:ascii="Times New Roman" w:hAnsi="Times New Roman"/>
          <w:sz w:val="24"/>
        </w:rPr>
        <w:t>Landis, J. R., &amp; Koch, G. G. (1977). The measurement of observer agreement for categorical data. Biometrics, 33(1), 159–174. https://doi.org/10.2307/2529310</w:t>
      </w:r>
    </w:p>
    <w:p>
      <w:pPr>
        <w:spacing w:line="360" w:lineRule="auto"/>
        <w:ind w:left="720" w:hanging="720"/>
        <w:jc w:val="both"/>
      </w:pPr>
      <w:r>
        <w:rPr>
          <w:rFonts w:ascii="Times New Roman" w:hAnsi="Times New Roman"/>
          <w:sz w:val="24"/>
        </w:rPr>
        <w:t>Li, B., Liu, X., Zhang, Y., Wang, Y., &amp; Zheng, L. (2024). Quality assessment of health science-related short videos on TikTok: A scoping review. International Journal of Medical Informatics, 186, 105424. https://doi.org/10.1016/j.ijmedinf.2024.105424</w:t>
      </w:r>
    </w:p>
    <w:p>
      <w:pPr>
        <w:spacing w:line="360" w:lineRule="auto"/>
        <w:ind w:left="720" w:hanging="720"/>
        <w:jc w:val="both"/>
      </w:pPr>
      <w:r>
        <w:rPr>
          <w:rFonts w:ascii="Times New Roman" w:hAnsi="Times New Roman"/>
          <w:sz w:val="24"/>
        </w:rPr>
        <w:t>Moorhead, S. A., Hazlett, D. E., Harrison, L., Carroll, J. K., Irwin, A., &amp; Hoving, C. (2013). A new dimension of health care: Systematic review of the uses, benefits, and limitations of social media for health communication. Journal of Medical Internet Research, 15(4), e85. https://doi.org/10.2196/jmir.1933</w:t>
      </w:r>
    </w:p>
    <w:p>
      <w:pPr>
        <w:spacing w:line="360" w:lineRule="auto"/>
        <w:ind w:left="720" w:hanging="720"/>
        <w:jc w:val="both"/>
      </w:pPr>
      <w:r>
        <w:rPr>
          <w:rFonts w:ascii="Times New Roman" w:hAnsi="Times New Roman"/>
          <w:sz w:val="24"/>
        </w:rPr>
        <w:t>Norman, C. D., &amp; Skinner, H. A. (2006). eHEALS: The eHealth Literacy Scale. Journal of Medical Internet Research, 8(4), e27. https://doi.org/10.2196/jmir.8.4.e27</w:t>
      </w:r>
    </w:p>
    <w:p>
      <w:pPr>
        <w:spacing w:line="360" w:lineRule="auto"/>
        <w:ind w:left="720" w:hanging="720"/>
        <w:jc w:val="both"/>
      </w:pPr>
      <w:r>
        <w:rPr>
          <w:rFonts w:ascii="Times New Roman" w:hAnsi="Times New Roman"/>
          <w:sz w:val="24"/>
        </w:rPr>
        <w:t>Pan, B., Hembrooke, H., Joachims, T., Lorigo, L., Gay, G., &amp; Granka, L. (2007). In Google we trust: Users’ decisions on rank, position, and relevance. Journal of Computer-Mediated Communication, 12(3), 801–823.</w:t>
      </w:r>
    </w:p>
    <w:p>
      <w:pPr>
        <w:spacing w:line="360" w:lineRule="auto"/>
        <w:ind w:left="720" w:hanging="720"/>
        <w:jc w:val="both"/>
      </w:pPr>
      <w:r>
        <w:rPr>
          <w:rFonts w:ascii="Times New Roman" w:hAnsi="Times New Roman"/>
          <w:sz w:val="24"/>
        </w:rPr>
        <w:t>Pew Research Center. (2021). Social media fact sheet. https://www.pewresearch.org/internet/fact-sheet/social-media/</w:t>
      </w:r>
    </w:p>
    <w:p>
      <w:pPr>
        <w:spacing w:line="360" w:lineRule="auto"/>
        <w:ind w:left="720" w:hanging="720"/>
        <w:jc w:val="both"/>
      </w:pPr>
      <w:r>
        <w:rPr>
          <w:rFonts w:ascii="Times New Roman" w:hAnsi="Times New Roman"/>
          <w:sz w:val="24"/>
        </w:rPr>
        <w:t>Pilgrim, K., &amp; Bohnet-Joschko, S. (2022). Selling health and happiness: How influencers communicate on Instagram about dieting and exercise. BMC Public Health, 19, 1054. https://doi.org/10.1186/s12889-019-7387-8</w:t>
      </w:r>
    </w:p>
    <w:p>
      <w:pPr>
        <w:spacing w:line="360" w:lineRule="auto"/>
        <w:ind w:left="720" w:hanging="720"/>
        <w:jc w:val="both"/>
      </w:pPr>
      <w:r>
        <w:rPr>
          <w:rFonts w:ascii="Times New Roman" w:hAnsi="Times New Roman"/>
          <w:sz w:val="24"/>
        </w:rPr>
        <w:t>Rosenstock, I. M. (1974). Historical origins of the Health Belief Model. Health Education Monographs, 2(4), 328–335. https://doi.org/10.1177/109019817400200403</w:t>
      </w:r>
    </w:p>
    <w:p>
      <w:pPr>
        <w:spacing w:line="360" w:lineRule="auto"/>
        <w:ind w:left="720" w:hanging="720"/>
        <w:jc w:val="both"/>
      </w:pPr>
      <w:r>
        <w:rPr>
          <w:rFonts w:ascii="Times New Roman" w:hAnsi="Times New Roman"/>
          <w:sz w:val="24"/>
        </w:rPr>
        <w:t>Sbaffi, L., &amp; Rowley, J. (2017). Trust and credibility in web-based health information: A review and agenda for future research. Journal of Medical Internet Research, 19(6), e218. https://doi.org/10.2196/jmir.7579</w:t>
      </w:r>
    </w:p>
    <w:p>
      <w:pPr>
        <w:spacing w:line="360" w:lineRule="auto"/>
        <w:ind w:left="720" w:hanging="720"/>
        <w:jc w:val="both"/>
      </w:pPr>
      <w:r>
        <w:rPr>
          <w:rFonts w:ascii="Times New Roman" w:hAnsi="Times New Roman"/>
          <w:sz w:val="24"/>
        </w:rPr>
        <w:t>Silberg, W. M., Lundberg, G. D., &amp; Musacchio, R. A. (1997). Assessing, controlling, and assuring the quality of medical information on the internet: Caveant lector et viewor—Let the reader and viewer beware. JAMA, 277(15), 1244–1245. https://doi.org/10.1001/jama.1997.03540390074039</w:t>
      </w:r>
    </w:p>
    <w:p>
      <w:pPr>
        <w:spacing w:line="360" w:lineRule="auto"/>
        <w:ind w:left="720" w:hanging="720"/>
        <w:jc w:val="both"/>
      </w:pPr>
      <w:r>
        <w:rPr>
          <w:rFonts w:ascii="Times New Roman" w:hAnsi="Times New Roman"/>
          <w:sz w:val="24"/>
        </w:rPr>
        <w:t>Snelson, C. L. (2016). Qualitative and mixed methods social media research: A review of the literature. International Journal of Qualitative Methods, 15(1), 1–15. https://doi.org/10.1177/1609406915624574</w:t>
      </w:r>
    </w:p>
    <w:p>
      <w:pPr>
        <w:spacing w:line="360" w:lineRule="auto"/>
        <w:ind w:left="720" w:hanging="720"/>
        <w:jc w:val="both"/>
      </w:pPr>
      <w:r>
        <w:rPr>
          <w:rFonts w:ascii="Times New Roman" w:hAnsi="Times New Roman"/>
          <w:sz w:val="24"/>
        </w:rPr>
        <w:t>Suarez-Lledo, V., &amp; Alvarez-Galvez, J. (2021). Prevalence of health misinformation on social media: Systematic review. Journal of Medical Internet Research, 23(1), e17187. https://doi.org/10.2196/17187</w:t>
      </w:r>
    </w:p>
    <w:p>
      <w:pPr>
        <w:spacing w:line="360" w:lineRule="auto"/>
        <w:ind w:left="720" w:hanging="720"/>
        <w:jc w:val="both"/>
      </w:pPr>
      <w:r>
        <w:rPr>
          <w:rFonts w:ascii="Times New Roman" w:hAnsi="Times New Roman"/>
          <w:sz w:val="24"/>
        </w:rPr>
        <w:t>Swire-Thompson, B., &amp; Lazer, D. (2020). Public health and online misinformation: Challenges and recommendations. Annual Review of Public Health, 41, 433–451. https://doi.org/10.1146/annurev-publhealth-040119-094127</w:t>
      </w:r>
    </w:p>
    <w:p>
      <w:pPr>
        <w:spacing w:line="360" w:lineRule="auto"/>
        <w:ind w:left="720" w:hanging="720"/>
        <w:jc w:val="both"/>
      </w:pPr>
      <w:r>
        <w:rPr>
          <w:rFonts w:ascii="Times New Roman" w:hAnsi="Times New Roman"/>
          <w:sz w:val="24"/>
        </w:rPr>
        <w:t>Tan, S. S.-L., &amp; Goonawardene, N. (2017). Internet health information seeking and the patient-physician relationship: A systematic review. Journal of Medical Internet Research, 19(1), e9. https://doi.org/10.2196/jmir.5729</w:t>
      </w:r>
    </w:p>
    <w:p>
      <w:pPr>
        <w:spacing w:line="360" w:lineRule="auto"/>
        <w:ind w:left="720" w:hanging="720"/>
        <w:jc w:val="both"/>
      </w:pPr>
      <w:r>
        <w:rPr>
          <w:rFonts w:ascii="Times New Roman" w:hAnsi="Times New Roman"/>
          <w:sz w:val="24"/>
        </w:rPr>
        <w:t>Tripodi, F. (2018). Searching for alternative facts: Analyzing scriptural inference in conservative news practices. Data &amp; Society Research Institute.</w:t>
      </w:r>
    </w:p>
    <w:p>
      <w:pPr>
        <w:spacing w:line="360" w:lineRule="auto"/>
        <w:ind w:left="720" w:hanging="720"/>
        <w:jc w:val="both"/>
      </w:pPr>
      <w:r>
        <w:rPr>
          <w:rFonts w:ascii="Times New Roman" w:hAnsi="Times New Roman"/>
          <w:sz w:val="24"/>
        </w:rPr>
        <w:t>Wang, R. Y., &amp; Strong, D. M. (1996). Beyond accuracy: What data quality means to data consumers. Journal of Management Information Systems, 12(4), 5–33. https://doi.org/10.1080/07421222.1996.11518099</w:t>
      </w:r>
    </w:p>
    <w:p>
      <w:pPr>
        <w:spacing w:line="360" w:lineRule="auto"/>
        <w:ind w:left="720" w:hanging="720"/>
        <w:jc w:val="both"/>
      </w:pPr>
      <w:r>
        <w:rPr>
          <w:rFonts w:ascii="Times New Roman" w:hAnsi="Times New Roman"/>
          <w:sz w:val="24"/>
        </w:rPr>
        <w:t>World Health Organization. (2020). WHO guidelines on physical activity and sedentary behaviour. World Health Organization. https://www.who.int/publications/i/item/9789240015128</w:t>
      </w:r>
    </w:p>
    <w:p>
      <w:pPr>
        <w:spacing w:line="360" w:lineRule="auto"/>
        <w:ind w:left="720" w:hanging="720"/>
        <w:jc w:val="both"/>
      </w:pPr>
      <w:r>
        <w:rPr>
          <w:rFonts w:ascii="Times New Roman" w:hAnsi="Times New Roman"/>
          <w:sz w:val="24"/>
        </w:rPr>
        <w:t>World Health Organization. (2023). Health promotion glossary of terms 2021. World Health Organization. https://www.who.int/publications/i/item/9789240038349</w:t>
      </w:r>
    </w:p>
    <w:p>
      <w:pPr>
        <w:spacing w:line="360" w:lineRule="auto"/>
        <w:ind w:left="720" w:hanging="720"/>
        <w:jc w:val="both"/>
      </w:pPr>
      <w:r>
        <w:rPr>
          <w:rFonts w:ascii="Times New Roman" w:hAnsi="Times New Roman"/>
          <w:sz w:val="24"/>
        </w:rPr>
        <w:t>Yurdaisik, I. (2022). Analysis of the reliability and quality of YouTube videos on rotator cuff tears. Cureus, 14(6), e26180.</w:t>
      </w:r>
    </w:p>
    <w:p>
      <w:pPr>
        <w:pStyle w:val="Heading1"/>
      </w:pPr>
      <w:r>
        <w:rPr>
          <w:rFonts w:ascii="Times New Roman" w:hAnsi="Times New Roman"/>
          <w:color w:val="000000"/>
        </w:rPr>
        <w:t>APPENDIX A: DISCERN INSTRUMENT</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val="0"/>
          <w:sz w:val="24"/>
        </w:rPr>
        <w:t>The DISCERN instrument (Charnock et al., 1999) is a validated tool for assessing the quality of written consumer health information. It consists of 16 questions across three sections, each scored on a 5-point Likert scale (1 = Definitely No to 5 = Definitely Yes). The instrument was originally designed for patient information leaflets but has been widely adapted for online health content assessment.</w:t>
      </w:r>
    </w:p>
    <w:p>
      <w:pPr>
        <w:spacing w:line="360" w:lineRule="auto"/>
        <w:jc w:val="both"/>
      </w:pPr>
      <w:r>
        <w:rPr>
          <w:rFonts w:ascii="Times New Roman" w:hAnsi="Times New Roman"/>
          <w:b w:val="0"/>
          <w:i w:val="0"/>
          <w:sz w:val="24"/>
        </w:rPr>
      </w:r>
    </w:p>
    <w:p>
      <w:pPr>
        <w:pStyle w:val="Heading2"/>
      </w:pPr>
      <w:r>
        <w:rPr>
          <w:rFonts w:ascii="Times New Roman" w:hAnsi="Times New Roman"/>
          <w:color w:val="000000"/>
        </w:rPr>
        <w:t>Section 1: Reliability of the Publication (Questions 1–8)</w:t>
      </w:r>
    </w:p>
    <w:p>
      <w:pPr>
        <w:spacing w:line="360" w:lineRule="auto"/>
      </w:pPr>
      <w:r>
        <w:rPr>
          <w:rFonts w:ascii="Times New Roman" w:hAnsi="Times New Roman"/>
          <w:b/>
          <w:sz w:val="24"/>
        </w:rPr>
        <w:t>Q1: Are the aims clear?</w:t>
      </w:r>
    </w:p>
    <w:p>
      <w:pPr>
        <w:spacing w:line="360" w:lineRule="auto"/>
        <w:ind w:left="720"/>
      </w:pPr>
      <w:r>
        <w:rPr>
          <w:rFonts w:ascii="Times New Roman" w:hAnsi="Times New Roman"/>
          <w:i/>
          <w:sz w:val="24"/>
        </w:rPr>
        <w:t>Does the publication clearly state what it is about and what topics will be covered?</w:t>
      </w:r>
    </w:p>
    <w:p>
      <w:pPr>
        <w:spacing w:line="360" w:lineRule="auto"/>
      </w:pPr>
      <w:r>
        <w:rPr>
          <w:rFonts w:ascii="Times New Roman" w:hAnsi="Times New Roman"/>
          <w:b/>
          <w:sz w:val="24"/>
        </w:rPr>
        <w:t>Q2: Does it achieve its aims?</w:t>
      </w:r>
    </w:p>
    <w:p>
      <w:pPr>
        <w:spacing w:line="360" w:lineRule="auto"/>
        <w:ind w:left="720"/>
      </w:pPr>
      <w:r>
        <w:rPr>
          <w:rFonts w:ascii="Times New Roman" w:hAnsi="Times New Roman"/>
          <w:i/>
          <w:sz w:val="24"/>
        </w:rPr>
        <w:t>Does the content deliver on the stated purpose?</w:t>
      </w:r>
    </w:p>
    <w:p>
      <w:pPr>
        <w:spacing w:line="360" w:lineRule="auto"/>
      </w:pPr>
      <w:r>
        <w:rPr>
          <w:rFonts w:ascii="Times New Roman" w:hAnsi="Times New Roman"/>
          <w:b/>
          <w:sz w:val="24"/>
        </w:rPr>
        <w:t>Q3: Is it relevant?</w:t>
      </w:r>
    </w:p>
    <w:p>
      <w:pPr>
        <w:spacing w:line="360" w:lineRule="auto"/>
        <w:ind w:left="720"/>
      </w:pPr>
      <w:r>
        <w:rPr>
          <w:rFonts w:ascii="Times New Roman" w:hAnsi="Times New Roman"/>
          <w:i/>
          <w:sz w:val="24"/>
        </w:rPr>
        <w:t>Is the information relevant to the target audience?</w:t>
      </w:r>
    </w:p>
    <w:p>
      <w:pPr>
        <w:spacing w:line="360" w:lineRule="auto"/>
      </w:pPr>
      <w:r>
        <w:rPr>
          <w:rFonts w:ascii="Times New Roman" w:hAnsi="Times New Roman"/>
          <w:b/>
          <w:sz w:val="24"/>
        </w:rPr>
        <w:t>Q4: Is it clear what sources of information were used?</w:t>
      </w:r>
    </w:p>
    <w:p>
      <w:pPr>
        <w:spacing w:line="360" w:lineRule="auto"/>
        <w:ind w:left="720"/>
      </w:pPr>
      <w:r>
        <w:rPr>
          <w:rFonts w:ascii="Times New Roman" w:hAnsi="Times New Roman"/>
          <w:i/>
          <w:sz w:val="24"/>
        </w:rPr>
        <w:t>Are references, sources, or evidence cited?</w:t>
      </w:r>
    </w:p>
    <w:p>
      <w:pPr>
        <w:spacing w:line="360" w:lineRule="auto"/>
      </w:pPr>
      <w:r>
        <w:rPr>
          <w:rFonts w:ascii="Times New Roman" w:hAnsi="Times New Roman"/>
          <w:b/>
          <w:sz w:val="24"/>
        </w:rPr>
        <w:t>Q5: Is it clear when the information was produced?</w:t>
      </w:r>
    </w:p>
    <w:p>
      <w:pPr>
        <w:spacing w:line="360" w:lineRule="auto"/>
        <w:ind w:left="720"/>
      </w:pPr>
      <w:r>
        <w:rPr>
          <w:rFonts w:ascii="Times New Roman" w:hAnsi="Times New Roman"/>
          <w:i/>
          <w:sz w:val="24"/>
        </w:rPr>
        <w:t>Is the date of creation or last update stated?</w:t>
      </w:r>
    </w:p>
    <w:p>
      <w:pPr>
        <w:spacing w:line="360" w:lineRule="auto"/>
      </w:pPr>
      <w:r>
        <w:rPr>
          <w:rFonts w:ascii="Times New Roman" w:hAnsi="Times New Roman"/>
          <w:b/>
          <w:sz w:val="24"/>
        </w:rPr>
        <w:t>Q6: Is it balanced and unbiased?</w:t>
      </w:r>
    </w:p>
    <w:p>
      <w:pPr>
        <w:spacing w:line="360" w:lineRule="auto"/>
        <w:ind w:left="720"/>
      </w:pPr>
      <w:r>
        <w:rPr>
          <w:rFonts w:ascii="Times New Roman" w:hAnsi="Times New Roman"/>
          <w:i/>
          <w:sz w:val="24"/>
        </w:rPr>
        <w:t>Does the content present information objectively, or is it one-sided?</w:t>
      </w:r>
    </w:p>
    <w:p>
      <w:pPr>
        <w:spacing w:line="360" w:lineRule="auto"/>
      </w:pPr>
      <w:r>
        <w:rPr>
          <w:rFonts w:ascii="Times New Roman" w:hAnsi="Times New Roman"/>
          <w:b/>
          <w:sz w:val="24"/>
        </w:rPr>
        <w:t>Q7: Does it provide details of additional sources of support?</w:t>
      </w:r>
    </w:p>
    <w:p>
      <w:pPr>
        <w:spacing w:line="360" w:lineRule="auto"/>
        <w:ind w:left="720"/>
      </w:pPr>
      <w:r>
        <w:rPr>
          <w:rFonts w:ascii="Times New Roman" w:hAnsi="Times New Roman"/>
          <w:i/>
          <w:sz w:val="24"/>
        </w:rPr>
        <w:t>Are links to further reading, helplines, or professional resources provided?</w:t>
      </w:r>
    </w:p>
    <w:p>
      <w:pPr>
        <w:spacing w:line="360" w:lineRule="auto"/>
      </w:pPr>
      <w:r>
        <w:rPr>
          <w:rFonts w:ascii="Times New Roman" w:hAnsi="Times New Roman"/>
          <w:b/>
          <w:sz w:val="24"/>
        </w:rPr>
        <w:t>Q8: Does it refer to areas of uncertainty?</w:t>
      </w:r>
    </w:p>
    <w:p>
      <w:pPr>
        <w:spacing w:line="360" w:lineRule="auto"/>
        <w:ind w:left="720"/>
      </w:pPr>
      <w:r>
        <w:rPr>
          <w:rFonts w:ascii="Times New Roman" w:hAnsi="Times New Roman"/>
          <w:i/>
          <w:sz w:val="24"/>
        </w:rPr>
        <w:t>Does the content acknowledge limitations, uncertainties, or areas where evidence is lacking?</w:t>
      </w:r>
    </w:p>
    <w:p>
      <w:pPr>
        <w:spacing w:line="360" w:lineRule="auto"/>
        <w:jc w:val="both"/>
      </w:pPr>
      <w:r>
        <w:rPr>
          <w:rFonts w:ascii="Times New Roman" w:hAnsi="Times New Roman"/>
          <w:b w:val="0"/>
          <w:i w:val="0"/>
          <w:sz w:val="24"/>
        </w:rPr>
      </w:r>
    </w:p>
    <w:p>
      <w:pPr>
        <w:pStyle w:val="Heading2"/>
      </w:pPr>
      <w:r>
        <w:rPr>
          <w:rFonts w:ascii="Times New Roman" w:hAnsi="Times New Roman"/>
          <w:color w:val="000000"/>
        </w:rPr>
        <w:t>Section 2: Quality of Information on Treatment Choices (Questions 9–15)</w:t>
      </w:r>
    </w:p>
    <w:p>
      <w:pPr>
        <w:spacing w:line="360" w:lineRule="auto"/>
      </w:pPr>
      <w:r>
        <w:rPr>
          <w:rFonts w:ascii="Times New Roman" w:hAnsi="Times New Roman"/>
          <w:b/>
          <w:sz w:val="24"/>
        </w:rPr>
        <w:t>Q9: Does it describe how each treatment works?</w:t>
      </w:r>
    </w:p>
    <w:p>
      <w:pPr>
        <w:spacing w:line="360" w:lineRule="auto"/>
        <w:ind w:left="720"/>
      </w:pPr>
      <w:r>
        <w:rPr>
          <w:rFonts w:ascii="Times New Roman" w:hAnsi="Times New Roman"/>
          <w:i/>
          <w:sz w:val="24"/>
        </w:rPr>
        <w:t>Does the content explain the mechanism or rationale behind recommended exercises or activities?</w:t>
      </w:r>
    </w:p>
    <w:p>
      <w:pPr>
        <w:spacing w:line="360" w:lineRule="auto"/>
      </w:pPr>
      <w:r>
        <w:rPr>
          <w:rFonts w:ascii="Times New Roman" w:hAnsi="Times New Roman"/>
          <w:b/>
          <w:sz w:val="24"/>
        </w:rPr>
        <w:t>Q10: Does it describe the benefits of each treatment?</w:t>
      </w:r>
    </w:p>
    <w:p>
      <w:pPr>
        <w:spacing w:line="360" w:lineRule="auto"/>
        <w:ind w:left="720"/>
      </w:pPr>
      <w:r>
        <w:rPr>
          <w:rFonts w:ascii="Times New Roman" w:hAnsi="Times New Roman"/>
          <w:i/>
          <w:sz w:val="24"/>
        </w:rPr>
        <w:t>Are the expected benefits of the recommended physical activity clearly stated?</w:t>
      </w:r>
    </w:p>
    <w:p>
      <w:pPr>
        <w:spacing w:line="360" w:lineRule="auto"/>
      </w:pPr>
      <w:r>
        <w:rPr>
          <w:rFonts w:ascii="Times New Roman" w:hAnsi="Times New Roman"/>
          <w:b/>
          <w:sz w:val="24"/>
        </w:rPr>
        <w:t>Q11: Does it describe the risks of each treatment?</w:t>
      </w:r>
    </w:p>
    <w:p>
      <w:pPr>
        <w:spacing w:line="360" w:lineRule="auto"/>
        <w:ind w:left="720"/>
      </w:pPr>
      <w:r>
        <w:rPr>
          <w:rFonts w:ascii="Times New Roman" w:hAnsi="Times New Roman"/>
          <w:i/>
          <w:sz w:val="24"/>
        </w:rPr>
        <w:t>Are potential risks, contraindications, or side effects of the recommended exercises discussed?</w:t>
      </w:r>
    </w:p>
    <w:p>
      <w:pPr>
        <w:spacing w:line="360" w:lineRule="auto"/>
      </w:pPr>
      <w:r>
        <w:rPr>
          <w:rFonts w:ascii="Times New Roman" w:hAnsi="Times New Roman"/>
          <w:b/>
          <w:sz w:val="24"/>
        </w:rPr>
        <w:t>Q12: Does it describe what would happen if no treatment is used?</w:t>
      </w:r>
    </w:p>
    <w:p>
      <w:pPr>
        <w:spacing w:line="360" w:lineRule="auto"/>
        <w:ind w:left="720"/>
      </w:pPr>
      <w:r>
        <w:rPr>
          <w:rFonts w:ascii="Times New Roman" w:hAnsi="Times New Roman"/>
          <w:i/>
          <w:sz w:val="24"/>
        </w:rPr>
        <w:t>Does the content explain the consequences of physical inactivity?</w:t>
      </w:r>
    </w:p>
    <w:p>
      <w:pPr>
        <w:spacing w:line="360" w:lineRule="auto"/>
      </w:pPr>
      <w:r>
        <w:rPr>
          <w:rFonts w:ascii="Times New Roman" w:hAnsi="Times New Roman"/>
          <w:b/>
          <w:sz w:val="24"/>
        </w:rPr>
        <w:t>Q13: Does it describe how treatment choices affect overall quality of life?</w:t>
      </w:r>
    </w:p>
    <w:p>
      <w:pPr>
        <w:spacing w:line="360" w:lineRule="auto"/>
        <w:ind w:left="720"/>
      </w:pPr>
      <w:r>
        <w:rPr>
          <w:rFonts w:ascii="Times New Roman" w:hAnsi="Times New Roman"/>
          <w:i/>
          <w:sz w:val="24"/>
        </w:rPr>
        <w:t>Does the content address how physical activity affects wellbeing beyond the specific condition?</w:t>
      </w:r>
    </w:p>
    <w:p>
      <w:pPr>
        <w:spacing w:line="360" w:lineRule="auto"/>
      </w:pPr>
      <w:r>
        <w:rPr>
          <w:rFonts w:ascii="Times New Roman" w:hAnsi="Times New Roman"/>
          <w:b/>
          <w:sz w:val="24"/>
        </w:rPr>
        <w:t>Q14: Is it clear that there may be more than one possible treatment choice?</w:t>
      </w:r>
    </w:p>
    <w:p>
      <w:pPr>
        <w:spacing w:line="360" w:lineRule="auto"/>
        <w:ind w:left="720"/>
      </w:pPr>
      <w:r>
        <w:rPr>
          <w:rFonts w:ascii="Times New Roman" w:hAnsi="Times New Roman"/>
          <w:i/>
          <w:sz w:val="24"/>
        </w:rPr>
        <w:t>Does the content present multiple exercise options rather than a single approach?</w:t>
      </w:r>
    </w:p>
    <w:p>
      <w:pPr>
        <w:spacing w:line="360" w:lineRule="auto"/>
      </w:pPr>
      <w:r>
        <w:rPr>
          <w:rFonts w:ascii="Times New Roman" w:hAnsi="Times New Roman"/>
          <w:b/>
          <w:sz w:val="24"/>
        </w:rPr>
        <w:t>Q15: Does it provide support for shared decision-making?</w:t>
      </w:r>
    </w:p>
    <w:p>
      <w:pPr>
        <w:spacing w:line="360" w:lineRule="auto"/>
        <w:ind w:left="720"/>
      </w:pPr>
      <w:r>
        <w:rPr>
          <w:rFonts w:ascii="Times New Roman" w:hAnsi="Times New Roman"/>
          <w:i/>
          <w:sz w:val="24"/>
        </w:rPr>
        <w:t>Does the content encourage consulting a professional or making personalised decisions?</w:t>
      </w:r>
    </w:p>
    <w:p>
      <w:pPr>
        <w:spacing w:line="360" w:lineRule="auto"/>
        <w:jc w:val="both"/>
      </w:pPr>
      <w:r>
        <w:rPr>
          <w:rFonts w:ascii="Times New Roman" w:hAnsi="Times New Roman"/>
          <w:b w:val="0"/>
          <w:i w:val="0"/>
          <w:sz w:val="24"/>
        </w:rPr>
      </w:r>
    </w:p>
    <w:p>
      <w:pPr>
        <w:pStyle w:val="Heading2"/>
      </w:pPr>
      <w:r>
        <w:rPr>
          <w:rFonts w:ascii="Times New Roman" w:hAnsi="Times New Roman"/>
          <w:color w:val="000000"/>
        </w:rPr>
        <w:t>Section 3: Overall Quality Rating (Question 16)</w:t>
      </w:r>
    </w:p>
    <w:p>
      <w:pPr>
        <w:spacing w:line="360" w:lineRule="auto"/>
      </w:pPr>
      <w:r>
        <w:rPr>
          <w:rFonts w:ascii="Times New Roman" w:hAnsi="Times New Roman"/>
          <w:b/>
          <w:sz w:val="24"/>
        </w:rPr>
        <w:t>Q16: Based on the answers to all of the above questions, rate the overall quality of the publication as a source of information about treatment choices.</w:t>
      </w:r>
    </w:p>
    <w:p>
      <w:pPr>
        <w:spacing w:line="360" w:lineRule="auto"/>
        <w:jc w:val="both"/>
      </w:pPr>
      <w:r>
        <w:rPr>
          <w:rFonts w:ascii="Times New Roman" w:hAnsi="Times New Roman"/>
          <w:b w:val="0"/>
          <w:i w:val="0"/>
          <w:sz w:val="24"/>
        </w:rPr>
      </w:r>
    </w:p>
    <w:p>
      <w:pPr>
        <w:pStyle w:val="Heading2"/>
      </w:pPr>
      <w:r>
        <w:rPr>
          <w:rFonts w:ascii="Times New Roman" w:hAnsi="Times New Roman"/>
          <w:color w:val="000000"/>
        </w:rPr>
        <w:t>Scoring and Interpretation</w:t>
      </w:r>
    </w:p>
    <w:p>
      <w:pPr>
        <w:spacing w:line="360" w:lineRule="auto"/>
        <w:jc w:val="both"/>
      </w:pPr>
      <w:r>
        <w:rPr>
          <w:rFonts w:ascii="Times New Roman" w:hAnsi="Times New Roman"/>
          <w:b w:val="0"/>
          <w:i w:val="0"/>
          <w:sz w:val="24"/>
        </w:rPr>
        <w:t>Each question is scored from 1 (Definitely No) to 5 (Definitely Yes). The total score ranges from 16 to 80. The following categories are used for interpretation:</w:t>
      </w:r>
    </w:p>
    <w:p>
      <w:pPr>
        <w:spacing w:line="360" w:lineRule="auto"/>
        <w:jc w:val="both"/>
      </w:pPr>
      <w:r>
        <w:rPr>
          <w:rFonts w:ascii="Times New Roman" w:hAnsi="Times New Roman"/>
          <w:b w:val="0"/>
          <w:i w:val="0"/>
          <w:sz w:val="24"/>
        </w:rPr>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sz w:val="20"/>
              </w:rPr>
              <w:t>Score Range</w:t>
            </w:r>
          </w:p>
        </w:tc>
        <w:tc>
          <w:tcPr>
            <w:tcW w:type="dxa" w:w="3009"/>
          </w:tcPr>
          <w:p>
            <w:r>
              <w:rPr>
                <w:rFonts w:ascii="Times New Roman" w:hAnsi="Times New Roman"/>
                <w:b/>
                <w:sz w:val="20"/>
              </w:rPr>
              <w:t>Category</w:t>
            </w:r>
          </w:p>
        </w:tc>
        <w:tc>
          <w:tcPr>
            <w:tcW w:type="dxa" w:w="3009"/>
          </w:tcPr>
          <w:p>
            <w:r>
              <w:rPr>
                <w:rFonts w:ascii="Times New Roman" w:hAnsi="Times New Roman"/>
                <w:b/>
                <w:sz w:val="20"/>
              </w:rPr>
              <w:t>Interpretation</w:t>
            </w:r>
          </w:p>
        </w:tc>
      </w:tr>
      <w:tr>
        <w:tc>
          <w:tcPr>
            <w:tcW w:type="dxa" w:w="3009"/>
          </w:tcPr>
          <w:p>
            <w:r>
              <w:rPr>
                <w:rFonts w:ascii="Times New Roman" w:hAnsi="Times New Roman"/>
                <w:sz w:val="20"/>
              </w:rPr>
              <w:t>16–26</w:t>
            </w:r>
          </w:p>
        </w:tc>
        <w:tc>
          <w:tcPr>
            <w:tcW w:type="dxa" w:w="3009"/>
          </w:tcPr>
          <w:p>
            <w:r>
              <w:rPr>
                <w:rFonts w:ascii="Times New Roman" w:hAnsi="Times New Roman"/>
                <w:sz w:val="20"/>
              </w:rPr>
              <w:t>Very Poor</w:t>
            </w:r>
          </w:p>
        </w:tc>
        <w:tc>
          <w:tcPr>
            <w:tcW w:type="dxa" w:w="3009"/>
          </w:tcPr>
          <w:p>
            <w:r>
              <w:rPr>
                <w:rFonts w:ascii="Times New Roman" w:hAnsi="Times New Roman"/>
                <w:sz w:val="20"/>
              </w:rPr>
              <w:t>Serious or extensive shortcomings</w:t>
            </w:r>
          </w:p>
        </w:tc>
      </w:tr>
      <w:tr>
        <w:tc>
          <w:tcPr>
            <w:tcW w:type="dxa" w:w="3009"/>
          </w:tcPr>
          <w:p>
            <w:r>
              <w:rPr>
                <w:rFonts w:ascii="Times New Roman" w:hAnsi="Times New Roman"/>
                <w:sz w:val="20"/>
              </w:rPr>
              <w:t>27–38</w:t>
            </w:r>
          </w:p>
        </w:tc>
        <w:tc>
          <w:tcPr>
            <w:tcW w:type="dxa" w:w="3009"/>
          </w:tcPr>
          <w:p>
            <w:r>
              <w:rPr>
                <w:rFonts w:ascii="Times New Roman" w:hAnsi="Times New Roman"/>
                <w:sz w:val="20"/>
              </w:rPr>
              <w:t>Poor</w:t>
            </w:r>
          </w:p>
        </w:tc>
        <w:tc>
          <w:tcPr>
            <w:tcW w:type="dxa" w:w="3009"/>
          </w:tcPr>
          <w:p>
            <w:r>
              <w:rPr>
                <w:rFonts w:ascii="Times New Roman" w:hAnsi="Times New Roman"/>
                <w:sz w:val="20"/>
              </w:rPr>
              <w:t>Potentially important but not serious shortcomings</w:t>
            </w:r>
          </w:p>
        </w:tc>
      </w:tr>
      <w:tr>
        <w:tc>
          <w:tcPr>
            <w:tcW w:type="dxa" w:w="3009"/>
          </w:tcPr>
          <w:p>
            <w:r>
              <w:rPr>
                <w:rFonts w:ascii="Times New Roman" w:hAnsi="Times New Roman"/>
                <w:sz w:val="20"/>
              </w:rPr>
              <w:t>39–50</w:t>
            </w:r>
          </w:p>
        </w:tc>
        <w:tc>
          <w:tcPr>
            <w:tcW w:type="dxa" w:w="3009"/>
          </w:tcPr>
          <w:p>
            <w:r>
              <w:rPr>
                <w:rFonts w:ascii="Times New Roman" w:hAnsi="Times New Roman"/>
                <w:sz w:val="20"/>
              </w:rPr>
              <w:t>Fair</w:t>
            </w:r>
          </w:p>
        </w:tc>
        <w:tc>
          <w:tcPr>
            <w:tcW w:type="dxa" w:w="3009"/>
          </w:tcPr>
          <w:p>
            <w:r>
              <w:rPr>
                <w:rFonts w:ascii="Times New Roman" w:hAnsi="Times New Roman"/>
                <w:sz w:val="20"/>
              </w:rPr>
              <w:t>Some shortcomings but not serious</w:t>
            </w:r>
          </w:p>
        </w:tc>
      </w:tr>
      <w:tr>
        <w:tc>
          <w:tcPr>
            <w:tcW w:type="dxa" w:w="3009"/>
          </w:tcPr>
          <w:p>
            <w:r>
              <w:rPr>
                <w:rFonts w:ascii="Times New Roman" w:hAnsi="Times New Roman"/>
                <w:sz w:val="20"/>
              </w:rPr>
              <w:t>51–62</w:t>
            </w:r>
          </w:p>
        </w:tc>
        <w:tc>
          <w:tcPr>
            <w:tcW w:type="dxa" w:w="3009"/>
          </w:tcPr>
          <w:p>
            <w:r>
              <w:rPr>
                <w:rFonts w:ascii="Times New Roman" w:hAnsi="Times New Roman"/>
                <w:sz w:val="20"/>
              </w:rPr>
              <w:t>Good</w:t>
            </w:r>
          </w:p>
        </w:tc>
        <w:tc>
          <w:tcPr>
            <w:tcW w:type="dxa" w:w="3009"/>
          </w:tcPr>
          <w:p>
            <w:r>
              <w:rPr>
                <w:rFonts w:ascii="Times New Roman" w:hAnsi="Times New Roman"/>
                <w:sz w:val="20"/>
              </w:rPr>
              <w:t>Minimal shortcomings</w:t>
            </w:r>
          </w:p>
        </w:tc>
      </w:tr>
      <w:tr>
        <w:tc>
          <w:tcPr>
            <w:tcW w:type="dxa" w:w="3009"/>
          </w:tcPr>
          <w:p>
            <w:r>
              <w:rPr>
                <w:rFonts w:ascii="Times New Roman" w:hAnsi="Times New Roman"/>
                <w:sz w:val="20"/>
              </w:rPr>
              <w:t>63–80</w:t>
            </w:r>
          </w:p>
        </w:tc>
        <w:tc>
          <w:tcPr>
            <w:tcW w:type="dxa" w:w="3009"/>
          </w:tcPr>
          <w:p>
            <w:r>
              <w:rPr>
                <w:rFonts w:ascii="Times New Roman" w:hAnsi="Times New Roman"/>
                <w:sz w:val="20"/>
              </w:rPr>
              <w:t>Excellent</w:t>
            </w:r>
          </w:p>
        </w:tc>
        <w:tc>
          <w:tcPr>
            <w:tcW w:type="dxa" w:w="3009"/>
          </w:tcPr>
          <w:p>
            <w:r>
              <w:rPr>
                <w:rFonts w:ascii="Times New Roman" w:hAnsi="Times New Roman"/>
                <w:sz w:val="20"/>
              </w:rPr>
              <w:t>Minimal shortcomings with additional features</w:t>
            </w:r>
          </w:p>
        </w:tc>
      </w:tr>
    </w:tbl>
    <w:p>
      <w:pPr>
        <w:pStyle w:val="Heading1"/>
      </w:pPr>
      <w:r>
        <w:rPr>
          <w:rFonts w:ascii="Times New Roman" w:hAnsi="Times New Roman"/>
          <w:color w:val="000000"/>
        </w:rPr>
        <w:t>APPENDIX B: JAMA BENCHMARKS — OPERATIONALISATION FOR SOCIAL MEDIA</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val="0"/>
          <w:sz w:val="24"/>
        </w:rPr>
        <w:t>The JAMA benchmarks (Silberg et al., 1997) were originally proposed as minimum standards for health information published on the World Wide Web. They comprise four accountability criteria, each assessed as present (Y) or absent (N). This appendix details how each criterion was operationalised for the four platform types assessed in this study.</w:t>
      </w:r>
    </w:p>
    <w:p>
      <w:pPr>
        <w:spacing w:line="360" w:lineRule="auto"/>
        <w:jc w:val="both"/>
      </w:pPr>
      <w:r>
        <w:rPr>
          <w:rFonts w:ascii="Times New Roman" w:hAnsi="Times New Roman"/>
          <w:b w:val="0"/>
          <w:i w:val="0"/>
          <w:sz w:val="24"/>
        </w:rPr>
      </w:r>
    </w:p>
    <w:p>
      <w:pPr>
        <w:pStyle w:val="Heading2"/>
      </w:pPr>
      <w:r>
        <w:rPr>
          <w:rFonts w:ascii="Times New Roman" w:hAnsi="Times New Roman"/>
          <w:color w:val="000000"/>
        </w:rPr>
        <w:t>1. Authorship</w:t>
      </w:r>
    </w:p>
    <w:p>
      <w:pPr>
        <w:spacing w:line="360" w:lineRule="auto"/>
        <w:jc w:val="both"/>
      </w:pPr>
      <w:r>
        <w:rPr>
          <w:rFonts w:ascii="Times New Roman" w:hAnsi="Times New Roman"/>
          <w:b w:val="0"/>
          <w:i/>
          <w:sz w:val="24"/>
        </w:rPr>
        <w:t>Definition: Authors and contributors should be identified, along with their affiliations and relevant credentials.</w:t>
      </w:r>
    </w:p>
    <w:p>
      <w:pPr>
        <w:spacing w:line="360" w:lineRule="auto"/>
        <w:jc w:val="both"/>
      </w:pPr>
      <w:r>
        <w:rPr>
          <w:rFonts w:ascii="Times New Roman" w:hAnsi="Times New Roman"/>
          <w:b w:val="0"/>
          <w:i w:val="0"/>
          <w:sz w:val="24"/>
        </w:rPr>
      </w:r>
    </w:p>
    <w:tbl>
      <w:tblPr>
        <w:tblStyle w:val="TableGrid"/>
        <w:tblW w:type="auto" w:w="0"/>
        <w:tblLook w:firstColumn="1" w:firstRow="1" w:lastColumn="0" w:lastRow="0" w:noHBand="0" w:noVBand="1" w:val="04A0"/>
      </w:tblPr>
      <w:tblGrid>
        <w:gridCol w:w="4513"/>
        <w:gridCol w:w="4513"/>
      </w:tblGrid>
      <w:tr>
        <w:tc>
          <w:tcPr>
            <w:tcW w:type="dxa" w:w="4513"/>
          </w:tcPr>
          <w:p>
            <w:r>
              <w:rPr>
                <w:rFonts w:ascii="Times New Roman" w:hAnsi="Times New Roman"/>
                <w:b/>
                <w:sz w:val="20"/>
              </w:rPr>
              <w:t>Platform</w:t>
            </w:r>
          </w:p>
        </w:tc>
        <w:tc>
          <w:tcPr>
            <w:tcW w:type="dxa" w:w="4513"/>
          </w:tcPr>
          <w:p>
            <w:r>
              <w:rPr>
                <w:rFonts w:ascii="Times New Roman" w:hAnsi="Times New Roman"/>
                <w:b/>
                <w:sz w:val="20"/>
              </w:rPr>
              <w:t>Operationalisation</w:t>
            </w:r>
          </w:p>
        </w:tc>
      </w:tr>
      <w:tr>
        <w:tc>
          <w:tcPr>
            <w:tcW w:type="dxa" w:w="4513"/>
          </w:tcPr>
          <w:p>
            <w:r>
              <w:rPr>
                <w:rFonts w:ascii="Times New Roman" w:hAnsi="Times New Roman"/>
                <w:sz w:val="20"/>
              </w:rPr>
              <w:t>Traditional websites</w:t>
            </w:r>
          </w:p>
        </w:tc>
        <w:tc>
          <w:tcPr>
            <w:tcW w:type="dxa" w:w="4513"/>
          </w:tcPr>
          <w:p>
            <w:r>
              <w:rPr>
                <w:rFonts w:ascii="Times New Roman" w:hAnsi="Times New Roman"/>
                <w:sz w:val="20"/>
              </w:rPr>
              <w:t>Author name and credentials (e.g., MD, PhD, CSCS) stated on the page, in a byline, or in an About the Author section.</w:t>
            </w:r>
          </w:p>
        </w:tc>
      </w:tr>
      <w:tr>
        <w:tc>
          <w:tcPr>
            <w:tcW w:type="dxa" w:w="4513"/>
          </w:tcPr>
          <w:p>
            <w:r>
              <w:rPr>
                <w:rFonts w:ascii="Times New Roman" w:hAnsi="Times New Roman"/>
                <w:sz w:val="20"/>
              </w:rPr>
              <w:t>YouTube</w:t>
            </w:r>
          </w:p>
        </w:tc>
        <w:tc>
          <w:tcPr>
            <w:tcW w:type="dxa" w:w="4513"/>
          </w:tcPr>
          <w:p>
            <w:r>
              <w:rPr>
                <w:rFonts w:ascii="Times New Roman" w:hAnsi="Times New Roman"/>
                <w:sz w:val="20"/>
              </w:rPr>
              <w:t>Creator credentials stated in the video description, channel About page, or verbally in the video introduction.</w:t>
            </w:r>
          </w:p>
        </w:tc>
      </w:tr>
      <w:tr>
        <w:tc>
          <w:tcPr>
            <w:tcW w:type="dxa" w:w="4513"/>
          </w:tcPr>
          <w:p>
            <w:r>
              <w:rPr>
                <w:rFonts w:ascii="Times New Roman" w:hAnsi="Times New Roman"/>
                <w:sz w:val="20"/>
              </w:rPr>
              <w:t>TikTok</w:t>
            </w:r>
          </w:p>
        </w:tc>
        <w:tc>
          <w:tcPr>
            <w:tcW w:type="dxa" w:w="4513"/>
          </w:tcPr>
          <w:p>
            <w:r>
              <w:rPr>
                <w:rFonts w:ascii="Times New Roman" w:hAnsi="Times New Roman"/>
                <w:sz w:val="20"/>
              </w:rPr>
              <w:t>Creator bio states professional credentials (e.g., Certified Personal Trainer, Physiotherapist) OR account is verified as a professional.</w:t>
            </w:r>
          </w:p>
        </w:tc>
      </w:tr>
      <w:tr>
        <w:tc>
          <w:tcPr>
            <w:tcW w:type="dxa" w:w="4513"/>
          </w:tcPr>
          <w:p>
            <w:r>
              <w:rPr>
                <w:rFonts w:ascii="Times New Roman" w:hAnsi="Times New Roman"/>
                <w:sz w:val="20"/>
              </w:rPr>
              <w:t>Instagram</w:t>
            </w:r>
          </w:p>
        </w:tc>
        <w:tc>
          <w:tcPr>
            <w:tcW w:type="dxa" w:w="4513"/>
          </w:tcPr>
          <w:p>
            <w:r>
              <w:rPr>
                <w:rFonts w:ascii="Times New Roman" w:hAnsi="Times New Roman"/>
                <w:sz w:val="20"/>
              </w:rPr>
              <w:t>Creator bio states professional credentials OR profile is a verified professional/business account with stated qualifications.</w:t>
            </w:r>
          </w:p>
        </w:tc>
      </w:tr>
    </w:tbl>
    <w:p>
      <w:pPr>
        <w:spacing w:line="360" w:lineRule="auto"/>
        <w:jc w:val="both"/>
      </w:pPr>
      <w:r>
        <w:rPr>
          <w:rFonts w:ascii="Times New Roman" w:hAnsi="Times New Roman"/>
          <w:b w:val="0"/>
          <w:i w:val="0"/>
          <w:sz w:val="24"/>
        </w:rPr>
      </w:r>
    </w:p>
    <w:p>
      <w:pPr>
        <w:pStyle w:val="Heading2"/>
      </w:pPr>
      <w:r>
        <w:rPr>
          <w:rFonts w:ascii="Times New Roman" w:hAnsi="Times New Roman"/>
          <w:color w:val="000000"/>
        </w:rPr>
        <w:t>2. Attribution</w:t>
      </w:r>
    </w:p>
    <w:p>
      <w:pPr>
        <w:spacing w:line="360" w:lineRule="auto"/>
        <w:jc w:val="both"/>
      </w:pPr>
      <w:r>
        <w:rPr>
          <w:rFonts w:ascii="Times New Roman" w:hAnsi="Times New Roman"/>
          <w:b w:val="0"/>
          <w:i/>
          <w:sz w:val="24"/>
        </w:rPr>
        <w:t>Definition: References and sources for all content should be listed clearly.</w:t>
      </w:r>
    </w:p>
    <w:p>
      <w:pPr>
        <w:spacing w:line="360" w:lineRule="auto"/>
        <w:jc w:val="both"/>
      </w:pPr>
      <w:r>
        <w:rPr>
          <w:rFonts w:ascii="Times New Roman" w:hAnsi="Times New Roman"/>
          <w:b w:val="0"/>
          <w:i w:val="0"/>
          <w:sz w:val="24"/>
        </w:rPr>
      </w:r>
    </w:p>
    <w:tbl>
      <w:tblPr>
        <w:tblStyle w:val="TableGrid"/>
        <w:tblW w:type="auto" w:w="0"/>
        <w:tblLook w:firstColumn="1" w:firstRow="1" w:lastColumn="0" w:lastRow="0" w:noHBand="0" w:noVBand="1" w:val="04A0"/>
      </w:tblPr>
      <w:tblGrid>
        <w:gridCol w:w="4513"/>
        <w:gridCol w:w="4513"/>
      </w:tblGrid>
      <w:tr>
        <w:tc>
          <w:tcPr>
            <w:tcW w:type="dxa" w:w="4513"/>
          </w:tcPr>
          <w:p>
            <w:r>
              <w:rPr>
                <w:rFonts w:ascii="Times New Roman" w:hAnsi="Times New Roman"/>
                <w:b/>
                <w:sz w:val="20"/>
              </w:rPr>
              <w:t>Platform</w:t>
            </w:r>
          </w:p>
        </w:tc>
        <w:tc>
          <w:tcPr>
            <w:tcW w:type="dxa" w:w="4513"/>
          </w:tcPr>
          <w:p>
            <w:r>
              <w:rPr>
                <w:rFonts w:ascii="Times New Roman" w:hAnsi="Times New Roman"/>
                <w:b/>
                <w:sz w:val="20"/>
              </w:rPr>
              <w:t>Operationalisation</w:t>
            </w:r>
          </w:p>
        </w:tc>
      </w:tr>
      <w:tr>
        <w:tc>
          <w:tcPr>
            <w:tcW w:type="dxa" w:w="4513"/>
          </w:tcPr>
          <w:p>
            <w:r>
              <w:rPr>
                <w:rFonts w:ascii="Times New Roman" w:hAnsi="Times New Roman"/>
                <w:sz w:val="20"/>
              </w:rPr>
              <w:t>Traditional websites</w:t>
            </w:r>
          </w:p>
        </w:tc>
        <w:tc>
          <w:tcPr>
            <w:tcW w:type="dxa" w:w="4513"/>
          </w:tcPr>
          <w:p>
            <w:r>
              <w:rPr>
                <w:rFonts w:ascii="Times New Roman" w:hAnsi="Times New Roman"/>
                <w:sz w:val="20"/>
              </w:rPr>
              <w:t>In-text citations, a reference list, bibliography, or hyperlinks to source materials are provided.</w:t>
            </w:r>
          </w:p>
        </w:tc>
      </w:tr>
      <w:tr>
        <w:tc>
          <w:tcPr>
            <w:tcW w:type="dxa" w:w="4513"/>
          </w:tcPr>
          <w:p>
            <w:r>
              <w:rPr>
                <w:rFonts w:ascii="Times New Roman" w:hAnsi="Times New Roman"/>
                <w:sz w:val="20"/>
              </w:rPr>
              <w:t>YouTube</w:t>
            </w:r>
          </w:p>
        </w:tc>
        <w:tc>
          <w:tcPr>
            <w:tcW w:type="dxa" w:w="4513"/>
          </w:tcPr>
          <w:p>
            <w:r>
              <w:rPr>
                <w:rFonts w:ascii="Times New Roman" w:hAnsi="Times New Roman"/>
                <w:sz w:val="20"/>
              </w:rPr>
              <w:t>Sources cited in the video description, shown on screen, or verbally referenced with sufficient detail to locate.</w:t>
            </w:r>
          </w:p>
        </w:tc>
      </w:tr>
      <w:tr>
        <w:tc>
          <w:tcPr>
            <w:tcW w:type="dxa" w:w="4513"/>
          </w:tcPr>
          <w:p>
            <w:r>
              <w:rPr>
                <w:rFonts w:ascii="Times New Roman" w:hAnsi="Times New Roman"/>
                <w:sz w:val="20"/>
              </w:rPr>
              <w:t>TikTok</w:t>
            </w:r>
          </w:p>
        </w:tc>
        <w:tc>
          <w:tcPr>
            <w:tcW w:type="dxa" w:w="4513"/>
          </w:tcPr>
          <w:p>
            <w:r>
              <w:rPr>
                <w:rFonts w:ascii="Times New Roman" w:hAnsi="Times New Roman"/>
                <w:sz w:val="20"/>
              </w:rPr>
              <w:t>Sources cited in the caption, shown as on-screen text, or referenced verbally (e.g., According to the WHO guidelines).</w:t>
            </w:r>
          </w:p>
        </w:tc>
      </w:tr>
      <w:tr>
        <w:tc>
          <w:tcPr>
            <w:tcW w:type="dxa" w:w="4513"/>
          </w:tcPr>
          <w:p>
            <w:r>
              <w:rPr>
                <w:rFonts w:ascii="Times New Roman" w:hAnsi="Times New Roman"/>
                <w:sz w:val="20"/>
              </w:rPr>
              <w:t>Instagram</w:t>
            </w:r>
          </w:p>
        </w:tc>
        <w:tc>
          <w:tcPr>
            <w:tcW w:type="dxa" w:w="4513"/>
          </w:tcPr>
          <w:p>
            <w:r>
              <w:rPr>
                <w:rFonts w:ascii="Times New Roman" w:hAnsi="Times New Roman"/>
                <w:sz w:val="20"/>
              </w:rPr>
              <w:t>Sources cited in the post caption, shown on carousel slides, or included as tagged references.</w:t>
            </w:r>
          </w:p>
        </w:tc>
      </w:tr>
    </w:tbl>
    <w:p>
      <w:pPr>
        <w:spacing w:line="360" w:lineRule="auto"/>
        <w:jc w:val="both"/>
      </w:pPr>
      <w:r>
        <w:rPr>
          <w:rFonts w:ascii="Times New Roman" w:hAnsi="Times New Roman"/>
          <w:b w:val="0"/>
          <w:i w:val="0"/>
          <w:sz w:val="24"/>
        </w:rPr>
      </w:r>
    </w:p>
    <w:p>
      <w:pPr>
        <w:pStyle w:val="Heading2"/>
      </w:pPr>
      <w:r>
        <w:rPr>
          <w:rFonts w:ascii="Times New Roman" w:hAnsi="Times New Roman"/>
          <w:color w:val="000000"/>
        </w:rPr>
        <w:t>3. Disclosure</w:t>
      </w:r>
    </w:p>
    <w:p>
      <w:pPr>
        <w:spacing w:line="360" w:lineRule="auto"/>
        <w:jc w:val="both"/>
      </w:pPr>
      <w:r>
        <w:rPr>
          <w:rFonts w:ascii="Times New Roman" w:hAnsi="Times New Roman"/>
          <w:b w:val="0"/>
          <w:i/>
          <w:sz w:val="24"/>
        </w:rPr>
        <w:t>Definition: Website ownership, sponsorship, advertising, underwriting, commercial funding, or potential conflicts of interest should be disclosed.</w:t>
      </w:r>
    </w:p>
    <w:p>
      <w:pPr>
        <w:spacing w:line="360" w:lineRule="auto"/>
        <w:jc w:val="both"/>
      </w:pPr>
      <w:r>
        <w:rPr>
          <w:rFonts w:ascii="Times New Roman" w:hAnsi="Times New Roman"/>
          <w:b w:val="0"/>
          <w:i w:val="0"/>
          <w:sz w:val="24"/>
        </w:rPr>
      </w:r>
    </w:p>
    <w:tbl>
      <w:tblPr>
        <w:tblStyle w:val="TableGrid"/>
        <w:tblW w:type="auto" w:w="0"/>
        <w:tblLook w:firstColumn="1" w:firstRow="1" w:lastColumn="0" w:lastRow="0" w:noHBand="0" w:noVBand="1" w:val="04A0"/>
      </w:tblPr>
      <w:tblGrid>
        <w:gridCol w:w="4513"/>
        <w:gridCol w:w="4513"/>
      </w:tblGrid>
      <w:tr>
        <w:tc>
          <w:tcPr>
            <w:tcW w:type="dxa" w:w="4513"/>
          </w:tcPr>
          <w:p>
            <w:r>
              <w:rPr>
                <w:rFonts w:ascii="Times New Roman" w:hAnsi="Times New Roman"/>
                <w:b/>
                <w:sz w:val="20"/>
              </w:rPr>
              <w:t>Platform</w:t>
            </w:r>
          </w:p>
        </w:tc>
        <w:tc>
          <w:tcPr>
            <w:tcW w:type="dxa" w:w="4513"/>
          </w:tcPr>
          <w:p>
            <w:r>
              <w:rPr>
                <w:rFonts w:ascii="Times New Roman" w:hAnsi="Times New Roman"/>
                <w:b/>
                <w:sz w:val="20"/>
              </w:rPr>
              <w:t>Operationalisation</w:t>
            </w:r>
          </w:p>
        </w:tc>
      </w:tr>
      <w:tr>
        <w:tc>
          <w:tcPr>
            <w:tcW w:type="dxa" w:w="4513"/>
          </w:tcPr>
          <w:p>
            <w:r>
              <w:rPr>
                <w:rFonts w:ascii="Times New Roman" w:hAnsi="Times New Roman"/>
                <w:sz w:val="20"/>
              </w:rPr>
              <w:t>Traditional websites</w:t>
            </w:r>
          </w:p>
        </w:tc>
        <w:tc>
          <w:tcPr>
            <w:tcW w:type="dxa" w:w="4513"/>
          </w:tcPr>
          <w:p>
            <w:r>
              <w:rPr>
                <w:rFonts w:ascii="Times New Roman" w:hAnsi="Times New Roman"/>
                <w:sz w:val="20"/>
              </w:rPr>
              <w:t>A disclosure statement, privacy policy identifying sponsorships, or declaration of conflicts of interest is present.</w:t>
            </w:r>
          </w:p>
        </w:tc>
      </w:tr>
      <w:tr>
        <w:tc>
          <w:tcPr>
            <w:tcW w:type="dxa" w:w="4513"/>
          </w:tcPr>
          <w:p>
            <w:r>
              <w:rPr>
                <w:rFonts w:ascii="Times New Roman" w:hAnsi="Times New Roman"/>
                <w:sz w:val="20"/>
              </w:rPr>
              <w:t>YouTube</w:t>
            </w:r>
          </w:p>
        </w:tc>
        <w:tc>
          <w:tcPr>
            <w:tcW w:type="dxa" w:w="4513"/>
          </w:tcPr>
          <w:p>
            <w:r>
              <w:rPr>
                <w:rFonts w:ascii="Times New Roman" w:hAnsi="Times New Roman"/>
                <w:sz w:val="20"/>
              </w:rPr>
              <w:t>Video includes a paid promotion disclosure, sponsorship mention, or the creator states potential conflicts of interest.</w:t>
            </w:r>
          </w:p>
        </w:tc>
      </w:tr>
      <w:tr>
        <w:tc>
          <w:tcPr>
            <w:tcW w:type="dxa" w:w="4513"/>
          </w:tcPr>
          <w:p>
            <w:r>
              <w:rPr>
                <w:rFonts w:ascii="Times New Roman" w:hAnsi="Times New Roman"/>
                <w:sz w:val="20"/>
              </w:rPr>
              <w:t>TikTok</w:t>
            </w:r>
          </w:p>
        </w:tc>
        <w:tc>
          <w:tcPr>
            <w:tcW w:type="dxa" w:w="4513"/>
          </w:tcPr>
          <w:p>
            <w:r>
              <w:rPr>
                <w:rFonts w:ascii="Times New Roman" w:hAnsi="Times New Roman"/>
                <w:sz w:val="20"/>
              </w:rPr>
              <w:t>Post includes #ad, #sponsored, Paid partnership label, or the creator verbally discloses commercial relationships.</w:t>
            </w:r>
          </w:p>
        </w:tc>
      </w:tr>
      <w:tr>
        <w:tc>
          <w:tcPr>
            <w:tcW w:type="dxa" w:w="4513"/>
          </w:tcPr>
          <w:p>
            <w:r>
              <w:rPr>
                <w:rFonts w:ascii="Times New Roman" w:hAnsi="Times New Roman"/>
                <w:sz w:val="20"/>
              </w:rPr>
              <w:t>Instagram</w:t>
            </w:r>
          </w:p>
        </w:tc>
        <w:tc>
          <w:tcPr>
            <w:tcW w:type="dxa" w:w="4513"/>
          </w:tcPr>
          <w:p>
            <w:r>
              <w:rPr>
                <w:rFonts w:ascii="Times New Roman" w:hAnsi="Times New Roman"/>
                <w:sz w:val="20"/>
              </w:rPr>
              <w:t>Post includes Paid partnership with label, #ad, #sponsored tags, or disclosure in the caption.</w:t>
            </w:r>
          </w:p>
        </w:tc>
      </w:tr>
    </w:tbl>
    <w:p>
      <w:pPr>
        <w:spacing w:line="360" w:lineRule="auto"/>
        <w:jc w:val="both"/>
      </w:pPr>
      <w:r>
        <w:rPr>
          <w:rFonts w:ascii="Times New Roman" w:hAnsi="Times New Roman"/>
          <w:b w:val="0"/>
          <w:i w:val="0"/>
          <w:sz w:val="24"/>
        </w:rPr>
      </w:r>
    </w:p>
    <w:p>
      <w:pPr>
        <w:pStyle w:val="Heading2"/>
      </w:pPr>
      <w:r>
        <w:rPr>
          <w:rFonts w:ascii="Times New Roman" w:hAnsi="Times New Roman"/>
          <w:color w:val="000000"/>
        </w:rPr>
        <w:t>4. Currency</w:t>
      </w:r>
    </w:p>
    <w:p>
      <w:pPr>
        <w:spacing w:line="360" w:lineRule="auto"/>
        <w:jc w:val="both"/>
      </w:pPr>
      <w:r>
        <w:rPr>
          <w:rFonts w:ascii="Times New Roman" w:hAnsi="Times New Roman"/>
          <w:b w:val="0"/>
          <w:i/>
          <w:sz w:val="24"/>
        </w:rPr>
        <w:t>Definition: Dates of content posting and any updates should be clearly displayed.</w:t>
      </w:r>
    </w:p>
    <w:p>
      <w:pPr>
        <w:spacing w:line="360" w:lineRule="auto"/>
        <w:jc w:val="both"/>
      </w:pPr>
      <w:r>
        <w:rPr>
          <w:rFonts w:ascii="Times New Roman" w:hAnsi="Times New Roman"/>
          <w:b w:val="0"/>
          <w:i w:val="0"/>
          <w:sz w:val="24"/>
        </w:rPr>
      </w:r>
    </w:p>
    <w:tbl>
      <w:tblPr>
        <w:tblStyle w:val="TableGrid"/>
        <w:tblW w:type="auto" w:w="0"/>
        <w:tblLook w:firstColumn="1" w:firstRow="1" w:lastColumn="0" w:lastRow="0" w:noHBand="0" w:noVBand="1" w:val="04A0"/>
      </w:tblPr>
      <w:tblGrid>
        <w:gridCol w:w="4513"/>
        <w:gridCol w:w="4513"/>
      </w:tblGrid>
      <w:tr>
        <w:tc>
          <w:tcPr>
            <w:tcW w:type="dxa" w:w="4513"/>
          </w:tcPr>
          <w:p>
            <w:r>
              <w:rPr>
                <w:rFonts w:ascii="Times New Roman" w:hAnsi="Times New Roman"/>
                <w:b/>
                <w:sz w:val="20"/>
              </w:rPr>
              <w:t>Platform</w:t>
            </w:r>
          </w:p>
        </w:tc>
        <w:tc>
          <w:tcPr>
            <w:tcW w:type="dxa" w:w="4513"/>
          </w:tcPr>
          <w:p>
            <w:r>
              <w:rPr>
                <w:rFonts w:ascii="Times New Roman" w:hAnsi="Times New Roman"/>
                <w:b/>
                <w:sz w:val="20"/>
              </w:rPr>
              <w:t>Operationalisation</w:t>
            </w:r>
          </w:p>
        </w:tc>
      </w:tr>
      <w:tr>
        <w:tc>
          <w:tcPr>
            <w:tcW w:type="dxa" w:w="4513"/>
          </w:tcPr>
          <w:p>
            <w:r>
              <w:rPr>
                <w:rFonts w:ascii="Times New Roman" w:hAnsi="Times New Roman"/>
                <w:sz w:val="20"/>
              </w:rPr>
              <w:t>Traditional websites</w:t>
            </w:r>
          </w:p>
        </w:tc>
        <w:tc>
          <w:tcPr>
            <w:tcW w:type="dxa" w:w="4513"/>
          </w:tcPr>
          <w:p>
            <w:r>
              <w:rPr>
                <w:rFonts w:ascii="Times New Roman" w:hAnsi="Times New Roman"/>
                <w:sz w:val="20"/>
              </w:rPr>
              <w:t>Publication date or last updated date is visible on the page.</w:t>
            </w:r>
          </w:p>
        </w:tc>
      </w:tr>
      <w:tr>
        <w:tc>
          <w:tcPr>
            <w:tcW w:type="dxa" w:w="4513"/>
          </w:tcPr>
          <w:p>
            <w:r>
              <w:rPr>
                <w:rFonts w:ascii="Times New Roman" w:hAnsi="Times New Roman"/>
                <w:sz w:val="20"/>
              </w:rPr>
              <w:t>YouTube</w:t>
            </w:r>
          </w:p>
        </w:tc>
        <w:tc>
          <w:tcPr>
            <w:tcW w:type="dxa" w:w="4513"/>
          </w:tcPr>
          <w:p>
            <w:r>
              <w:rPr>
                <w:rFonts w:ascii="Times New Roman" w:hAnsi="Times New Roman"/>
                <w:sz w:val="20"/>
              </w:rPr>
              <w:t>Upload date is displayed by default on the platform (always Y for YouTube).</w:t>
            </w:r>
          </w:p>
        </w:tc>
      </w:tr>
      <w:tr>
        <w:tc>
          <w:tcPr>
            <w:tcW w:type="dxa" w:w="4513"/>
          </w:tcPr>
          <w:p>
            <w:r>
              <w:rPr>
                <w:rFonts w:ascii="Times New Roman" w:hAnsi="Times New Roman"/>
                <w:sz w:val="20"/>
              </w:rPr>
              <w:t>TikTok</w:t>
            </w:r>
          </w:p>
        </w:tc>
        <w:tc>
          <w:tcPr>
            <w:tcW w:type="dxa" w:w="4513"/>
          </w:tcPr>
          <w:p>
            <w:r>
              <w:rPr>
                <w:rFonts w:ascii="Times New Roman" w:hAnsi="Times New Roman"/>
                <w:sz w:val="20"/>
              </w:rPr>
              <w:t>Post date is displayed by default on the platform (always Y for TikTok).</w:t>
            </w:r>
          </w:p>
        </w:tc>
      </w:tr>
      <w:tr>
        <w:tc>
          <w:tcPr>
            <w:tcW w:type="dxa" w:w="4513"/>
          </w:tcPr>
          <w:p>
            <w:r>
              <w:rPr>
                <w:rFonts w:ascii="Times New Roman" w:hAnsi="Times New Roman"/>
                <w:sz w:val="20"/>
              </w:rPr>
              <w:t>Instagram</w:t>
            </w:r>
          </w:p>
        </w:tc>
        <w:tc>
          <w:tcPr>
            <w:tcW w:type="dxa" w:w="4513"/>
          </w:tcPr>
          <w:p>
            <w:r>
              <w:rPr>
                <w:rFonts w:ascii="Times New Roman" w:hAnsi="Times New Roman"/>
                <w:sz w:val="20"/>
              </w:rPr>
              <w:t>Post date is displayed by default on the platform (always Y for Instagram).</w:t>
            </w:r>
          </w:p>
        </w:tc>
      </w:tr>
    </w:tbl>
    <w:p>
      <w:pPr>
        <w:spacing w:line="360" w:lineRule="auto"/>
        <w:jc w:val="both"/>
      </w:pPr>
      <w:r>
        <w:rPr>
          <w:rFonts w:ascii="Times New Roman" w:hAnsi="Times New Roman"/>
          <w:b w:val="0"/>
          <w:i w:val="0"/>
          <w:sz w:val="24"/>
        </w:rPr>
      </w:r>
    </w:p>
    <w:p>
      <w:pPr>
        <w:pStyle w:val="Heading2"/>
      </w:pPr>
      <w:r>
        <w:rPr>
          <w:rFonts w:ascii="Times New Roman" w:hAnsi="Times New Roman"/>
          <w:color w:val="000000"/>
        </w:rPr>
        <w:t>Scoring</w:t>
      </w:r>
    </w:p>
    <w:p>
      <w:pPr>
        <w:spacing w:line="360" w:lineRule="auto"/>
        <w:jc w:val="both"/>
      </w:pPr>
      <w:r>
        <w:rPr>
          <w:rFonts w:ascii="Times New Roman" w:hAnsi="Times New Roman"/>
          <w:b w:val="0"/>
          <w:i w:val="0"/>
          <w:sz w:val="24"/>
        </w:rPr>
        <w:t>Each criterion is scored as Y (Yes, criterion met) or N (No, criterion not met). The JAMA Total score is the count of criteria met, ranging from 0 to 4.</w:t>
      </w:r>
    </w:p>
    <w:p>
      <w:pPr>
        <w:pStyle w:val="Heading1"/>
      </w:pPr>
      <w:r>
        <w:rPr>
          <w:rFonts w:ascii="Times New Roman" w:hAnsi="Times New Roman"/>
          <w:color w:val="000000"/>
        </w:rPr>
        <w:t>APPENDIX C: COMPLETE DATA SUMMARY TABLES</w:t>
      </w:r>
    </w:p>
    <w:p>
      <w:pPr>
        <w:spacing w:line="360" w:lineRule="auto"/>
        <w:jc w:val="both"/>
      </w:pPr>
      <w:r>
        <w:rPr>
          <w:rFonts w:ascii="Times New Roman" w:hAnsi="Times New Roman"/>
          <w:b w:val="0"/>
          <w:i w:val="0"/>
          <w:sz w:val="24"/>
        </w:rPr>
      </w:r>
    </w:p>
    <w:p>
      <w:pPr>
        <w:pStyle w:val="Heading2"/>
      </w:pPr>
      <w:r>
        <w:rPr>
          <w:rFonts w:ascii="Times New Roman" w:hAnsi="Times New Roman"/>
          <w:color w:val="000000"/>
        </w:rPr>
        <w:t>C.1 Sample Characteristics</w:t>
      </w:r>
    </w:p>
    <w:p>
      <w:pPr>
        <w:spacing w:line="360" w:lineRule="auto"/>
        <w:jc w:val="left"/>
      </w:pPr>
      <w:r>
        <w:rPr>
          <w:rFonts w:ascii="Times New Roman" w:hAnsi="Times New Roman"/>
          <w:b/>
          <w:i w:val="0"/>
          <w:sz w:val="24"/>
        </w:rPr>
        <w:t>Table C1. Creator Type Distribution by Platform</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rFonts w:ascii="Times New Roman" w:hAnsi="Times New Roman"/>
                <w:b/>
                <w:sz w:val="20"/>
              </w:rPr>
              <w:t>Platform</w:t>
            </w:r>
          </w:p>
        </w:tc>
        <w:tc>
          <w:tcPr>
            <w:tcW w:type="dxa" w:w="1504"/>
          </w:tcPr>
          <w:p>
            <w:r>
              <w:rPr>
                <w:rFonts w:ascii="Times New Roman" w:hAnsi="Times New Roman"/>
                <w:b/>
                <w:sz w:val="20"/>
              </w:rPr>
              <w:t>Healthcare Prof.</w:t>
            </w:r>
          </w:p>
        </w:tc>
        <w:tc>
          <w:tcPr>
            <w:tcW w:type="dxa" w:w="1504"/>
          </w:tcPr>
          <w:p>
            <w:r>
              <w:rPr>
                <w:rFonts w:ascii="Times New Roman" w:hAnsi="Times New Roman"/>
                <w:b/>
                <w:sz w:val="20"/>
              </w:rPr>
              <w:t>Certified Fitness Prof.</w:t>
            </w:r>
          </w:p>
        </w:tc>
        <w:tc>
          <w:tcPr>
            <w:tcW w:type="dxa" w:w="1504"/>
          </w:tcPr>
          <w:p>
            <w:r>
              <w:rPr>
                <w:rFonts w:ascii="Times New Roman" w:hAnsi="Times New Roman"/>
                <w:b/>
                <w:sz w:val="20"/>
              </w:rPr>
              <w:t>Fitness Influencer</w:t>
            </w:r>
          </w:p>
        </w:tc>
        <w:tc>
          <w:tcPr>
            <w:tcW w:type="dxa" w:w="1504"/>
          </w:tcPr>
          <w:p>
            <w:r>
              <w:rPr>
                <w:rFonts w:ascii="Times New Roman" w:hAnsi="Times New Roman"/>
                <w:b/>
                <w:sz w:val="20"/>
              </w:rPr>
              <w:t>General User</w:t>
            </w:r>
          </w:p>
        </w:tc>
        <w:tc>
          <w:tcPr>
            <w:tcW w:type="dxa" w:w="1504"/>
          </w:tcPr>
          <w:p>
            <w:r>
              <w:rPr>
                <w:rFonts w:ascii="Times New Roman" w:hAnsi="Times New Roman"/>
                <w:b/>
                <w:sz w:val="20"/>
              </w:rPr>
              <w:t>Organisation</w:t>
            </w:r>
          </w:p>
        </w:tc>
      </w:tr>
      <w:tr>
        <w:tc>
          <w:tcPr>
            <w:tcW w:type="dxa" w:w="1504"/>
          </w:tcPr>
          <w:p>
            <w:r>
              <w:rPr>
                <w:rFonts w:ascii="Times New Roman" w:hAnsi="Times New Roman"/>
                <w:sz w:val="20"/>
              </w:rPr>
              <w:t>Website</w:t>
            </w:r>
          </w:p>
        </w:tc>
        <w:tc>
          <w:tcPr>
            <w:tcW w:type="dxa" w:w="1504"/>
          </w:tcPr>
          <w:p>
            <w:r>
              <w:rPr>
                <w:rFonts w:ascii="Times New Roman" w:hAnsi="Times New Roman"/>
                <w:sz w:val="20"/>
              </w:rPr>
              <w:t>0</w:t>
            </w:r>
          </w:p>
        </w:tc>
        <w:tc>
          <w:tcPr>
            <w:tcW w:type="dxa" w:w="1504"/>
          </w:tcPr>
          <w:p>
            <w:r>
              <w:rPr>
                <w:rFonts w:ascii="Times New Roman" w:hAnsi="Times New Roman"/>
                <w:sz w:val="20"/>
              </w:rPr>
              <w:t>7</w:t>
            </w:r>
          </w:p>
        </w:tc>
        <w:tc>
          <w:tcPr>
            <w:tcW w:type="dxa" w:w="1504"/>
          </w:tcPr>
          <w:p>
            <w:r>
              <w:rPr>
                <w:rFonts w:ascii="Times New Roman" w:hAnsi="Times New Roman"/>
                <w:sz w:val="20"/>
              </w:rPr>
              <w:t>0</w:t>
            </w:r>
          </w:p>
        </w:tc>
        <w:tc>
          <w:tcPr>
            <w:tcW w:type="dxa" w:w="1504"/>
          </w:tcPr>
          <w:p>
            <w:r>
              <w:rPr>
                <w:rFonts w:ascii="Times New Roman" w:hAnsi="Times New Roman"/>
                <w:sz w:val="20"/>
              </w:rPr>
              <w:t>4</w:t>
            </w:r>
          </w:p>
        </w:tc>
        <w:tc>
          <w:tcPr>
            <w:tcW w:type="dxa" w:w="1504"/>
          </w:tcPr>
          <w:p>
            <w:r>
              <w:rPr>
                <w:rFonts w:ascii="Times New Roman" w:hAnsi="Times New Roman"/>
                <w:sz w:val="20"/>
              </w:rPr>
              <w:t>39</w:t>
            </w:r>
          </w:p>
        </w:tc>
      </w:tr>
      <w:tr>
        <w:tc>
          <w:tcPr>
            <w:tcW w:type="dxa" w:w="1504"/>
          </w:tcPr>
          <w:p>
            <w:r>
              <w:rPr>
                <w:rFonts w:ascii="Times New Roman" w:hAnsi="Times New Roman"/>
                <w:sz w:val="20"/>
              </w:rPr>
              <w:t>YouTube</w:t>
            </w:r>
          </w:p>
        </w:tc>
        <w:tc>
          <w:tcPr>
            <w:tcW w:type="dxa" w:w="1504"/>
          </w:tcPr>
          <w:p>
            <w:r>
              <w:rPr>
                <w:rFonts w:ascii="Times New Roman" w:hAnsi="Times New Roman"/>
                <w:sz w:val="20"/>
              </w:rPr>
              <w:t>3</w:t>
            </w:r>
          </w:p>
        </w:tc>
        <w:tc>
          <w:tcPr>
            <w:tcW w:type="dxa" w:w="1504"/>
          </w:tcPr>
          <w:p>
            <w:r>
              <w:rPr>
                <w:rFonts w:ascii="Times New Roman" w:hAnsi="Times New Roman"/>
                <w:sz w:val="20"/>
              </w:rPr>
              <w:t>12</w:t>
            </w:r>
          </w:p>
        </w:tc>
        <w:tc>
          <w:tcPr>
            <w:tcW w:type="dxa" w:w="1504"/>
          </w:tcPr>
          <w:p>
            <w:r>
              <w:rPr>
                <w:rFonts w:ascii="Times New Roman" w:hAnsi="Times New Roman"/>
                <w:sz w:val="20"/>
              </w:rPr>
              <w:t>19</w:t>
            </w:r>
          </w:p>
        </w:tc>
        <w:tc>
          <w:tcPr>
            <w:tcW w:type="dxa" w:w="1504"/>
          </w:tcPr>
          <w:p>
            <w:r>
              <w:rPr>
                <w:rFonts w:ascii="Times New Roman" w:hAnsi="Times New Roman"/>
                <w:sz w:val="20"/>
              </w:rPr>
              <w:t>4</w:t>
            </w:r>
          </w:p>
        </w:tc>
        <w:tc>
          <w:tcPr>
            <w:tcW w:type="dxa" w:w="1504"/>
          </w:tcPr>
          <w:p>
            <w:r>
              <w:rPr>
                <w:rFonts w:ascii="Times New Roman" w:hAnsi="Times New Roman"/>
                <w:sz w:val="20"/>
              </w:rPr>
              <w:t>12</w:t>
            </w:r>
          </w:p>
        </w:tc>
      </w:tr>
      <w:tr>
        <w:tc>
          <w:tcPr>
            <w:tcW w:type="dxa" w:w="1504"/>
          </w:tcPr>
          <w:p>
            <w:r>
              <w:rPr>
                <w:rFonts w:ascii="Times New Roman" w:hAnsi="Times New Roman"/>
                <w:sz w:val="20"/>
              </w:rPr>
              <w:t>TikTok</w:t>
            </w:r>
          </w:p>
        </w:tc>
        <w:tc>
          <w:tcPr>
            <w:tcW w:type="dxa" w:w="1504"/>
          </w:tcPr>
          <w:p>
            <w:r>
              <w:rPr>
                <w:rFonts w:ascii="Times New Roman" w:hAnsi="Times New Roman"/>
                <w:sz w:val="20"/>
              </w:rPr>
              <w:t>8</w:t>
            </w:r>
          </w:p>
        </w:tc>
        <w:tc>
          <w:tcPr>
            <w:tcW w:type="dxa" w:w="1504"/>
          </w:tcPr>
          <w:p>
            <w:r>
              <w:rPr>
                <w:rFonts w:ascii="Times New Roman" w:hAnsi="Times New Roman"/>
                <w:sz w:val="20"/>
              </w:rPr>
              <w:t>7</w:t>
            </w:r>
          </w:p>
        </w:tc>
        <w:tc>
          <w:tcPr>
            <w:tcW w:type="dxa" w:w="1504"/>
          </w:tcPr>
          <w:p>
            <w:r>
              <w:rPr>
                <w:rFonts w:ascii="Times New Roman" w:hAnsi="Times New Roman"/>
                <w:sz w:val="20"/>
              </w:rPr>
              <w:t>21</w:t>
            </w:r>
          </w:p>
        </w:tc>
        <w:tc>
          <w:tcPr>
            <w:tcW w:type="dxa" w:w="1504"/>
          </w:tcPr>
          <w:p>
            <w:r>
              <w:rPr>
                <w:rFonts w:ascii="Times New Roman" w:hAnsi="Times New Roman"/>
                <w:sz w:val="20"/>
              </w:rPr>
              <w:t>9</w:t>
            </w:r>
          </w:p>
        </w:tc>
        <w:tc>
          <w:tcPr>
            <w:tcW w:type="dxa" w:w="1504"/>
          </w:tcPr>
          <w:p>
            <w:r>
              <w:rPr>
                <w:rFonts w:ascii="Times New Roman" w:hAnsi="Times New Roman"/>
                <w:sz w:val="20"/>
              </w:rPr>
              <w:t>5</w:t>
            </w:r>
          </w:p>
        </w:tc>
      </w:tr>
      <w:tr>
        <w:tc>
          <w:tcPr>
            <w:tcW w:type="dxa" w:w="1504"/>
          </w:tcPr>
          <w:p>
            <w:r>
              <w:rPr>
                <w:rFonts w:ascii="Times New Roman" w:hAnsi="Times New Roman"/>
                <w:sz w:val="20"/>
              </w:rPr>
              <w:t>Instagram</w:t>
            </w:r>
          </w:p>
        </w:tc>
        <w:tc>
          <w:tcPr>
            <w:tcW w:type="dxa" w:w="1504"/>
          </w:tcPr>
          <w:p>
            <w:r>
              <w:rPr>
                <w:rFonts w:ascii="Times New Roman" w:hAnsi="Times New Roman"/>
                <w:sz w:val="20"/>
              </w:rPr>
              <w:t>3</w:t>
            </w:r>
          </w:p>
        </w:tc>
        <w:tc>
          <w:tcPr>
            <w:tcW w:type="dxa" w:w="1504"/>
          </w:tcPr>
          <w:p>
            <w:r>
              <w:rPr>
                <w:rFonts w:ascii="Times New Roman" w:hAnsi="Times New Roman"/>
                <w:sz w:val="20"/>
              </w:rPr>
              <w:t>8</w:t>
            </w:r>
          </w:p>
        </w:tc>
        <w:tc>
          <w:tcPr>
            <w:tcW w:type="dxa" w:w="1504"/>
          </w:tcPr>
          <w:p>
            <w:r>
              <w:rPr>
                <w:rFonts w:ascii="Times New Roman" w:hAnsi="Times New Roman"/>
                <w:sz w:val="20"/>
              </w:rPr>
              <w:t>3</w:t>
            </w:r>
          </w:p>
        </w:tc>
        <w:tc>
          <w:tcPr>
            <w:tcW w:type="dxa" w:w="1504"/>
          </w:tcPr>
          <w:p>
            <w:r>
              <w:rPr>
                <w:rFonts w:ascii="Times New Roman" w:hAnsi="Times New Roman"/>
                <w:sz w:val="20"/>
              </w:rPr>
              <w:t>7</w:t>
            </w:r>
          </w:p>
        </w:tc>
        <w:tc>
          <w:tcPr>
            <w:tcW w:type="dxa" w:w="1504"/>
          </w:tcPr>
          <w:p>
            <w:r>
              <w:rPr>
                <w:rFonts w:ascii="Times New Roman" w:hAnsi="Times New Roman"/>
                <w:sz w:val="20"/>
              </w:rPr>
              <w:t>29</w:t>
            </w:r>
          </w:p>
        </w:tc>
      </w:tr>
      <w:tr>
        <w:tc>
          <w:tcPr>
            <w:tcW w:type="dxa" w:w="1504"/>
          </w:tcPr>
          <w:p>
            <w:r>
              <w:rPr>
                <w:rFonts w:ascii="Times New Roman" w:hAnsi="Times New Roman"/>
                <w:sz w:val="20"/>
              </w:rPr>
              <w:t>Total</w:t>
            </w:r>
          </w:p>
        </w:tc>
        <w:tc>
          <w:tcPr>
            <w:tcW w:type="dxa" w:w="1504"/>
          </w:tcPr>
          <w:p>
            <w:r>
              <w:rPr>
                <w:rFonts w:ascii="Times New Roman" w:hAnsi="Times New Roman"/>
                <w:sz w:val="20"/>
              </w:rPr>
              <w:t>14</w:t>
            </w:r>
          </w:p>
        </w:tc>
        <w:tc>
          <w:tcPr>
            <w:tcW w:type="dxa" w:w="1504"/>
          </w:tcPr>
          <w:p>
            <w:r>
              <w:rPr>
                <w:rFonts w:ascii="Times New Roman" w:hAnsi="Times New Roman"/>
                <w:sz w:val="20"/>
              </w:rPr>
              <w:t>34</w:t>
            </w:r>
          </w:p>
        </w:tc>
        <w:tc>
          <w:tcPr>
            <w:tcW w:type="dxa" w:w="1504"/>
          </w:tcPr>
          <w:p>
            <w:r>
              <w:rPr>
                <w:rFonts w:ascii="Times New Roman" w:hAnsi="Times New Roman"/>
                <w:sz w:val="20"/>
              </w:rPr>
              <w:t>43</w:t>
            </w:r>
          </w:p>
        </w:tc>
        <w:tc>
          <w:tcPr>
            <w:tcW w:type="dxa" w:w="1504"/>
          </w:tcPr>
          <w:p>
            <w:r>
              <w:rPr>
                <w:rFonts w:ascii="Times New Roman" w:hAnsi="Times New Roman"/>
                <w:sz w:val="20"/>
              </w:rPr>
              <w:t>24</w:t>
            </w:r>
          </w:p>
        </w:tc>
        <w:tc>
          <w:tcPr>
            <w:tcW w:type="dxa" w:w="1504"/>
          </w:tcPr>
          <w:p>
            <w:r>
              <w:rPr>
                <w:rFonts w:ascii="Times New Roman" w:hAnsi="Times New Roman"/>
                <w:sz w:val="20"/>
              </w:rPr>
              <w:t>85</w:t>
            </w:r>
          </w:p>
        </w:tc>
      </w:tr>
    </w:tbl>
    <w:p>
      <w:pPr>
        <w:spacing w:line="360" w:lineRule="auto"/>
        <w:jc w:val="both"/>
      </w:pPr>
      <w:r>
        <w:rPr>
          <w:rFonts w:ascii="Times New Roman" w:hAnsi="Times New Roman"/>
          <w:b w:val="0"/>
          <w:i w:val="0"/>
          <w:sz w:val="24"/>
        </w:rPr>
      </w:r>
    </w:p>
    <w:p>
      <w:pPr>
        <w:spacing w:line="360" w:lineRule="auto"/>
        <w:jc w:val="left"/>
      </w:pPr>
      <w:r>
        <w:rPr>
          <w:rFonts w:ascii="Times New Roman" w:hAnsi="Times New Roman"/>
          <w:b/>
          <w:i w:val="0"/>
          <w:sz w:val="24"/>
        </w:rPr>
        <w:t>Table C2. DISCERN Total Score Descriptive Statistics by Platform</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rPr>
                <w:rFonts w:ascii="Times New Roman" w:hAnsi="Times New Roman"/>
                <w:b/>
                <w:sz w:val="20"/>
              </w:rPr>
              <w:t>Platform</w:t>
            </w:r>
          </w:p>
        </w:tc>
        <w:tc>
          <w:tcPr>
            <w:tcW w:type="dxa" w:w="903"/>
          </w:tcPr>
          <w:p>
            <w:r>
              <w:rPr>
                <w:rFonts w:ascii="Times New Roman" w:hAnsi="Times New Roman"/>
                <w:b/>
                <w:sz w:val="20"/>
              </w:rPr>
              <w:t>n</w:t>
            </w:r>
          </w:p>
        </w:tc>
        <w:tc>
          <w:tcPr>
            <w:tcW w:type="dxa" w:w="903"/>
          </w:tcPr>
          <w:p>
            <w:r>
              <w:rPr>
                <w:rFonts w:ascii="Times New Roman" w:hAnsi="Times New Roman"/>
                <w:b/>
                <w:sz w:val="20"/>
              </w:rPr>
              <w:t>Mean</w:t>
            </w:r>
          </w:p>
        </w:tc>
        <w:tc>
          <w:tcPr>
            <w:tcW w:type="dxa" w:w="903"/>
          </w:tcPr>
          <w:p>
            <w:r>
              <w:rPr>
                <w:rFonts w:ascii="Times New Roman" w:hAnsi="Times New Roman"/>
                <w:b/>
                <w:sz w:val="20"/>
              </w:rPr>
              <w:t>SD</w:t>
            </w:r>
          </w:p>
        </w:tc>
        <w:tc>
          <w:tcPr>
            <w:tcW w:type="dxa" w:w="903"/>
          </w:tcPr>
          <w:p>
            <w:r>
              <w:rPr>
                <w:rFonts w:ascii="Times New Roman" w:hAnsi="Times New Roman"/>
                <w:b/>
                <w:sz w:val="20"/>
              </w:rPr>
              <w:t>Median</w:t>
            </w:r>
          </w:p>
        </w:tc>
        <w:tc>
          <w:tcPr>
            <w:tcW w:type="dxa" w:w="903"/>
          </w:tcPr>
          <w:p>
            <w:r>
              <w:rPr>
                <w:rFonts w:ascii="Times New Roman" w:hAnsi="Times New Roman"/>
                <w:b/>
                <w:sz w:val="20"/>
              </w:rPr>
              <w:t>Q1</w:t>
            </w:r>
          </w:p>
        </w:tc>
        <w:tc>
          <w:tcPr>
            <w:tcW w:type="dxa" w:w="903"/>
          </w:tcPr>
          <w:p>
            <w:r>
              <w:rPr>
                <w:rFonts w:ascii="Times New Roman" w:hAnsi="Times New Roman"/>
                <w:b/>
                <w:sz w:val="20"/>
              </w:rPr>
              <w:t>Q3</w:t>
            </w:r>
          </w:p>
        </w:tc>
        <w:tc>
          <w:tcPr>
            <w:tcW w:type="dxa" w:w="903"/>
          </w:tcPr>
          <w:p>
            <w:r>
              <w:rPr>
                <w:rFonts w:ascii="Times New Roman" w:hAnsi="Times New Roman"/>
                <w:b/>
                <w:sz w:val="20"/>
              </w:rPr>
              <w:t>Min</w:t>
            </w:r>
          </w:p>
        </w:tc>
        <w:tc>
          <w:tcPr>
            <w:tcW w:type="dxa" w:w="903"/>
          </w:tcPr>
          <w:p>
            <w:r>
              <w:rPr>
                <w:rFonts w:ascii="Times New Roman" w:hAnsi="Times New Roman"/>
                <w:b/>
                <w:sz w:val="20"/>
              </w:rPr>
              <w:t>Max</w:t>
            </w:r>
          </w:p>
        </w:tc>
        <w:tc>
          <w:tcPr>
            <w:tcW w:type="dxa" w:w="903"/>
          </w:tcPr>
          <w:p>
            <w:r>
              <w:rPr>
                <w:rFonts w:ascii="Times New Roman" w:hAnsi="Times New Roman"/>
                <w:b/>
                <w:sz w:val="20"/>
              </w:rPr>
              <w:t>IQR</w:t>
            </w:r>
          </w:p>
        </w:tc>
      </w:tr>
      <w:tr>
        <w:tc>
          <w:tcPr>
            <w:tcW w:type="dxa" w:w="903"/>
          </w:tcPr>
          <w:p>
            <w:r>
              <w:rPr>
                <w:rFonts w:ascii="Times New Roman" w:hAnsi="Times New Roman"/>
                <w:sz w:val="20"/>
              </w:rPr>
              <w:t>Website</w:t>
            </w:r>
          </w:p>
        </w:tc>
        <w:tc>
          <w:tcPr>
            <w:tcW w:type="dxa" w:w="903"/>
          </w:tcPr>
          <w:p>
            <w:r>
              <w:rPr>
                <w:rFonts w:ascii="Times New Roman" w:hAnsi="Times New Roman"/>
                <w:sz w:val="20"/>
              </w:rPr>
              <w:t>50</w:t>
            </w:r>
          </w:p>
        </w:tc>
        <w:tc>
          <w:tcPr>
            <w:tcW w:type="dxa" w:w="903"/>
          </w:tcPr>
          <w:p>
            <w:r>
              <w:rPr>
                <w:rFonts w:ascii="Times New Roman" w:hAnsi="Times New Roman"/>
                <w:sz w:val="20"/>
              </w:rPr>
              <w:t>48.70</w:t>
            </w:r>
          </w:p>
        </w:tc>
        <w:tc>
          <w:tcPr>
            <w:tcW w:type="dxa" w:w="903"/>
          </w:tcPr>
          <w:p>
            <w:r>
              <w:rPr>
                <w:rFonts w:ascii="Times New Roman" w:hAnsi="Times New Roman"/>
                <w:sz w:val="20"/>
              </w:rPr>
              <w:t>8.17</w:t>
            </w:r>
          </w:p>
        </w:tc>
        <w:tc>
          <w:tcPr>
            <w:tcW w:type="dxa" w:w="903"/>
          </w:tcPr>
          <w:p>
            <w:r>
              <w:rPr>
                <w:rFonts w:ascii="Times New Roman" w:hAnsi="Times New Roman"/>
                <w:sz w:val="20"/>
              </w:rPr>
              <w:t>48.0</w:t>
            </w:r>
          </w:p>
        </w:tc>
        <w:tc>
          <w:tcPr>
            <w:tcW w:type="dxa" w:w="903"/>
          </w:tcPr>
          <w:p>
            <w:r>
              <w:rPr>
                <w:rFonts w:ascii="Times New Roman" w:hAnsi="Times New Roman"/>
                <w:sz w:val="20"/>
              </w:rPr>
              <w:t>42.25</w:t>
            </w:r>
          </w:p>
        </w:tc>
        <w:tc>
          <w:tcPr>
            <w:tcW w:type="dxa" w:w="903"/>
          </w:tcPr>
          <w:p>
            <w:r>
              <w:rPr>
                <w:rFonts w:ascii="Times New Roman" w:hAnsi="Times New Roman"/>
                <w:sz w:val="20"/>
              </w:rPr>
              <w:t>55.00</w:t>
            </w:r>
          </w:p>
        </w:tc>
        <w:tc>
          <w:tcPr>
            <w:tcW w:type="dxa" w:w="903"/>
          </w:tcPr>
          <w:p>
            <w:r>
              <w:rPr>
                <w:rFonts w:ascii="Times New Roman" w:hAnsi="Times New Roman"/>
                <w:sz w:val="20"/>
              </w:rPr>
              <w:t>33</w:t>
            </w:r>
          </w:p>
        </w:tc>
        <w:tc>
          <w:tcPr>
            <w:tcW w:type="dxa" w:w="903"/>
          </w:tcPr>
          <w:p>
            <w:r>
              <w:rPr>
                <w:rFonts w:ascii="Times New Roman" w:hAnsi="Times New Roman"/>
                <w:sz w:val="20"/>
              </w:rPr>
              <w:t>65</w:t>
            </w:r>
          </w:p>
        </w:tc>
        <w:tc>
          <w:tcPr>
            <w:tcW w:type="dxa" w:w="903"/>
          </w:tcPr>
          <w:p>
            <w:r>
              <w:rPr>
                <w:rFonts w:ascii="Times New Roman" w:hAnsi="Times New Roman"/>
                <w:sz w:val="20"/>
              </w:rPr>
              <w:t>12.75</w:t>
            </w:r>
          </w:p>
        </w:tc>
      </w:tr>
      <w:tr>
        <w:tc>
          <w:tcPr>
            <w:tcW w:type="dxa" w:w="903"/>
          </w:tcPr>
          <w:p>
            <w:r>
              <w:rPr>
                <w:rFonts w:ascii="Times New Roman" w:hAnsi="Times New Roman"/>
                <w:sz w:val="20"/>
              </w:rPr>
              <w:t>YouTube</w:t>
            </w:r>
          </w:p>
        </w:tc>
        <w:tc>
          <w:tcPr>
            <w:tcW w:type="dxa" w:w="903"/>
          </w:tcPr>
          <w:p>
            <w:r>
              <w:rPr>
                <w:rFonts w:ascii="Times New Roman" w:hAnsi="Times New Roman"/>
                <w:sz w:val="20"/>
              </w:rPr>
              <w:t>50</w:t>
            </w:r>
          </w:p>
        </w:tc>
        <w:tc>
          <w:tcPr>
            <w:tcW w:type="dxa" w:w="903"/>
          </w:tcPr>
          <w:p>
            <w:r>
              <w:rPr>
                <w:rFonts w:ascii="Times New Roman" w:hAnsi="Times New Roman"/>
                <w:sz w:val="20"/>
              </w:rPr>
              <w:t>40.36</w:t>
            </w:r>
          </w:p>
        </w:tc>
        <w:tc>
          <w:tcPr>
            <w:tcW w:type="dxa" w:w="903"/>
          </w:tcPr>
          <w:p>
            <w:r>
              <w:rPr>
                <w:rFonts w:ascii="Times New Roman" w:hAnsi="Times New Roman"/>
                <w:sz w:val="20"/>
              </w:rPr>
              <w:t>6.21</w:t>
            </w:r>
          </w:p>
        </w:tc>
        <w:tc>
          <w:tcPr>
            <w:tcW w:type="dxa" w:w="903"/>
          </w:tcPr>
          <w:p>
            <w:r>
              <w:rPr>
                <w:rFonts w:ascii="Times New Roman" w:hAnsi="Times New Roman"/>
                <w:sz w:val="20"/>
              </w:rPr>
              <w:t>39.0</w:t>
            </w:r>
          </w:p>
        </w:tc>
        <w:tc>
          <w:tcPr>
            <w:tcW w:type="dxa" w:w="903"/>
          </w:tcPr>
          <w:p>
            <w:r>
              <w:rPr>
                <w:rFonts w:ascii="Times New Roman" w:hAnsi="Times New Roman"/>
                <w:sz w:val="20"/>
              </w:rPr>
              <w:t>36.00</w:t>
            </w:r>
          </w:p>
        </w:tc>
        <w:tc>
          <w:tcPr>
            <w:tcW w:type="dxa" w:w="903"/>
          </w:tcPr>
          <w:p>
            <w:r>
              <w:rPr>
                <w:rFonts w:ascii="Times New Roman" w:hAnsi="Times New Roman"/>
                <w:sz w:val="20"/>
              </w:rPr>
              <w:t>42.75</w:t>
            </w:r>
          </w:p>
        </w:tc>
        <w:tc>
          <w:tcPr>
            <w:tcW w:type="dxa" w:w="903"/>
          </w:tcPr>
          <w:p>
            <w:r>
              <w:rPr>
                <w:rFonts w:ascii="Times New Roman" w:hAnsi="Times New Roman"/>
                <w:sz w:val="20"/>
              </w:rPr>
              <w:t>31</w:t>
            </w:r>
          </w:p>
        </w:tc>
        <w:tc>
          <w:tcPr>
            <w:tcW w:type="dxa" w:w="903"/>
          </w:tcPr>
          <w:p>
            <w:r>
              <w:rPr>
                <w:rFonts w:ascii="Times New Roman" w:hAnsi="Times New Roman"/>
                <w:sz w:val="20"/>
              </w:rPr>
              <w:t>57</w:t>
            </w:r>
          </w:p>
        </w:tc>
        <w:tc>
          <w:tcPr>
            <w:tcW w:type="dxa" w:w="903"/>
          </w:tcPr>
          <w:p>
            <w:r>
              <w:rPr>
                <w:rFonts w:ascii="Times New Roman" w:hAnsi="Times New Roman"/>
                <w:sz w:val="20"/>
              </w:rPr>
              <w:t>6.75</w:t>
            </w:r>
          </w:p>
        </w:tc>
      </w:tr>
      <w:tr>
        <w:tc>
          <w:tcPr>
            <w:tcW w:type="dxa" w:w="903"/>
          </w:tcPr>
          <w:p>
            <w:r>
              <w:rPr>
                <w:rFonts w:ascii="Times New Roman" w:hAnsi="Times New Roman"/>
                <w:sz w:val="20"/>
              </w:rPr>
              <w:t>TikTok</w:t>
            </w:r>
          </w:p>
        </w:tc>
        <w:tc>
          <w:tcPr>
            <w:tcW w:type="dxa" w:w="903"/>
          </w:tcPr>
          <w:p>
            <w:r>
              <w:rPr>
                <w:rFonts w:ascii="Times New Roman" w:hAnsi="Times New Roman"/>
                <w:sz w:val="20"/>
              </w:rPr>
              <w:t>50</w:t>
            </w:r>
          </w:p>
        </w:tc>
        <w:tc>
          <w:tcPr>
            <w:tcW w:type="dxa" w:w="903"/>
          </w:tcPr>
          <w:p>
            <w:r>
              <w:rPr>
                <w:rFonts w:ascii="Times New Roman" w:hAnsi="Times New Roman"/>
                <w:sz w:val="20"/>
              </w:rPr>
              <w:t>32.38</w:t>
            </w:r>
          </w:p>
        </w:tc>
        <w:tc>
          <w:tcPr>
            <w:tcW w:type="dxa" w:w="903"/>
          </w:tcPr>
          <w:p>
            <w:r>
              <w:rPr>
                <w:rFonts w:ascii="Times New Roman" w:hAnsi="Times New Roman"/>
                <w:sz w:val="20"/>
              </w:rPr>
              <w:t>6.39</w:t>
            </w:r>
          </w:p>
        </w:tc>
        <w:tc>
          <w:tcPr>
            <w:tcW w:type="dxa" w:w="903"/>
          </w:tcPr>
          <w:p>
            <w:r>
              <w:rPr>
                <w:rFonts w:ascii="Times New Roman" w:hAnsi="Times New Roman"/>
                <w:sz w:val="20"/>
              </w:rPr>
              <w:t>31.0</w:t>
            </w:r>
          </w:p>
        </w:tc>
        <w:tc>
          <w:tcPr>
            <w:tcW w:type="dxa" w:w="903"/>
          </w:tcPr>
          <w:p>
            <w:r>
              <w:rPr>
                <w:rFonts w:ascii="Times New Roman" w:hAnsi="Times New Roman"/>
                <w:sz w:val="20"/>
              </w:rPr>
              <w:t>29.00</w:t>
            </w:r>
          </w:p>
        </w:tc>
        <w:tc>
          <w:tcPr>
            <w:tcW w:type="dxa" w:w="903"/>
          </w:tcPr>
          <w:p>
            <w:r>
              <w:rPr>
                <w:rFonts w:ascii="Times New Roman" w:hAnsi="Times New Roman"/>
                <w:sz w:val="20"/>
              </w:rPr>
              <w:t>37.00</w:t>
            </w:r>
          </w:p>
        </w:tc>
        <w:tc>
          <w:tcPr>
            <w:tcW w:type="dxa" w:w="903"/>
          </w:tcPr>
          <w:p>
            <w:r>
              <w:rPr>
                <w:rFonts w:ascii="Times New Roman" w:hAnsi="Times New Roman"/>
                <w:sz w:val="20"/>
              </w:rPr>
              <w:t>17</w:t>
            </w:r>
          </w:p>
        </w:tc>
        <w:tc>
          <w:tcPr>
            <w:tcW w:type="dxa" w:w="903"/>
          </w:tcPr>
          <w:p>
            <w:r>
              <w:rPr>
                <w:rFonts w:ascii="Times New Roman" w:hAnsi="Times New Roman"/>
                <w:sz w:val="20"/>
              </w:rPr>
              <w:t>45</w:t>
            </w:r>
          </w:p>
        </w:tc>
        <w:tc>
          <w:tcPr>
            <w:tcW w:type="dxa" w:w="903"/>
          </w:tcPr>
          <w:p>
            <w:r>
              <w:rPr>
                <w:rFonts w:ascii="Times New Roman" w:hAnsi="Times New Roman"/>
                <w:sz w:val="20"/>
              </w:rPr>
              <w:t>8.00</w:t>
            </w:r>
          </w:p>
        </w:tc>
      </w:tr>
      <w:tr>
        <w:tc>
          <w:tcPr>
            <w:tcW w:type="dxa" w:w="903"/>
          </w:tcPr>
          <w:p>
            <w:r>
              <w:rPr>
                <w:rFonts w:ascii="Times New Roman" w:hAnsi="Times New Roman"/>
                <w:sz w:val="20"/>
              </w:rPr>
              <w:t>Instagram</w:t>
            </w:r>
          </w:p>
        </w:tc>
        <w:tc>
          <w:tcPr>
            <w:tcW w:type="dxa" w:w="903"/>
          </w:tcPr>
          <w:p>
            <w:r>
              <w:rPr>
                <w:rFonts w:ascii="Times New Roman" w:hAnsi="Times New Roman"/>
                <w:sz w:val="20"/>
              </w:rPr>
              <w:t>50</w:t>
            </w:r>
          </w:p>
        </w:tc>
        <w:tc>
          <w:tcPr>
            <w:tcW w:type="dxa" w:w="903"/>
          </w:tcPr>
          <w:p>
            <w:r>
              <w:rPr>
                <w:rFonts w:ascii="Times New Roman" w:hAnsi="Times New Roman"/>
                <w:sz w:val="20"/>
              </w:rPr>
              <w:t>23.78</w:t>
            </w:r>
          </w:p>
        </w:tc>
        <w:tc>
          <w:tcPr>
            <w:tcW w:type="dxa" w:w="903"/>
          </w:tcPr>
          <w:p>
            <w:r>
              <w:rPr>
                <w:rFonts w:ascii="Times New Roman" w:hAnsi="Times New Roman"/>
                <w:sz w:val="20"/>
              </w:rPr>
              <w:t>5.83</w:t>
            </w:r>
          </w:p>
        </w:tc>
        <w:tc>
          <w:tcPr>
            <w:tcW w:type="dxa" w:w="903"/>
          </w:tcPr>
          <w:p>
            <w:r>
              <w:rPr>
                <w:rFonts w:ascii="Times New Roman" w:hAnsi="Times New Roman"/>
                <w:sz w:val="20"/>
              </w:rPr>
              <w:t>21.0</w:t>
            </w:r>
          </w:p>
        </w:tc>
        <w:tc>
          <w:tcPr>
            <w:tcW w:type="dxa" w:w="903"/>
          </w:tcPr>
          <w:p>
            <w:r>
              <w:rPr>
                <w:rFonts w:ascii="Times New Roman" w:hAnsi="Times New Roman"/>
                <w:sz w:val="20"/>
              </w:rPr>
              <w:t>18.25</w:t>
            </w:r>
          </w:p>
        </w:tc>
        <w:tc>
          <w:tcPr>
            <w:tcW w:type="dxa" w:w="903"/>
          </w:tcPr>
          <w:p>
            <w:r>
              <w:rPr>
                <w:rFonts w:ascii="Times New Roman" w:hAnsi="Times New Roman"/>
                <w:sz w:val="20"/>
              </w:rPr>
              <w:t>29.75</w:t>
            </w:r>
          </w:p>
        </w:tc>
        <w:tc>
          <w:tcPr>
            <w:tcW w:type="dxa" w:w="903"/>
          </w:tcPr>
          <w:p>
            <w:r>
              <w:rPr>
                <w:rFonts w:ascii="Times New Roman" w:hAnsi="Times New Roman"/>
                <w:sz w:val="20"/>
              </w:rPr>
              <w:t>16</w:t>
            </w:r>
          </w:p>
        </w:tc>
        <w:tc>
          <w:tcPr>
            <w:tcW w:type="dxa" w:w="903"/>
          </w:tcPr>
          <w:p>
            <w:r>
              <w:rPr>
                <w:rFonts w:ascii="Times New Roman" w:hAnsi="Times New Roman"/>
                <w:sz w:val="20"/>
              </w:rPr>
              <w:t>36</w:t>
            </w:r>
          </w:p>
        </w:tc>
        <w:tc>
          <w:tcPr>
            <w:tcW w:type="dxa" w:w="903"/>
          </w:tcPr>
          <w:p>
            <w:r>
              <w:rPr>
                <w:rFonts w:ascii="Times New Roman" w:hAnsi="Times New Roman"/>
                <w:sz w:val="20"/>
              </w:rPr>
              <w:t>11.50</w:t>
            </w:r>
          </w:p>
        </w:tc>
      </w:tr>
      <w:tr>
        <w:tc>
          <w:tcPr>
            <w:tcW w:type="dxa" w:w="903"/>
          </w:tcPr>
          <w:p>
            <w:r>
              <w:rPr>
                <w:rFonts w:ascii="Times New Roman" w:hAnsi="Times New Roman"/>
                <w:sz w:val="20"/>
              </w:rPr>
              <w:t>Overall</w:t>
            </w:r>
          </w:p>
        </w:tc>
        <w:tc>
          <w:tcPr>
            <w:tcW w:type="dxa" w:w="903"/>
          </w:tcPr>
          <w:p>
            <w:r>
              <w:rPr>
                <w:rFonts w:ascii="Times New Roman" w:hAnsi="Times New Roman"/>
                <w:sz w:val="20"/>
              </w:rPr>
              <w:t>200</w:t>
            </w:r>
          </w:p>
        </w:tc>
        <w:tc>
          <w:tcPr>
            <w:tcW w:type="dxa" w:w="903"/>
          </w:tcPr>
          <w:p>
            <w:r>
              <w:rPr>
                <w:rFonts w:ascii="Times New Roman" w:hAnsi="Times New Roman"/>
                <w:sz w:val="20"/>
              </w:rPr>
              <w:t>36.30</w:t>
            </w:r>
          </w:p>
        </w:tc>
        <w:tc>
          <w:tcPr>
            <w:tcW w:type="dxa" w:w="903"/>
          </w:tcPr>
          <w:p>
            <w:r>
              <w:rPr>
                <w:rFonts w:ascii="Times New Roman" w:hAnsi="Times New Roman"/>
                <w:sz w:val="20"/>
              </w:rPr>
              <w:t>11.42</w:t>
            </w:r>
          </w:p>
        </w:tc>
        <w:tc>
          <w:tcPr>
            <w:tcW w:type="dxa" w:w="903"/>
          </w:tcPr>
          <w:p>
            <w:r>
              <w:rPr>
                <w:rFonts w:ascii="Times New Roman" w:hAnsi="Times New Roman"/>
                <w:sz w:val="20"/>
              </w:rPr>
              <w:t>35.5</w:t>
            </w:r>
          </w:p>
        </w:tc>
        <w:tc>
          <w:tcPr>
            <w:tcW w:type="dxa" w:w="903"/>
          </w:tcPr>
          <w:p>
            <w:r>
              <w:rPr>
                <w:rFonts w:ascii="Times New Roman" w:hAnsi="Times New Roman"/>
                <w:sz w:val="20"/>
              </w:rPr>
              <w:t>—</w:t>
            </w:r>
          </w:p>
        </w:tc>
        <w:tc>
          <w:tcPr>
            <w:tcW w:type="dxa" w:w="903"/>
          </w:tcPr>
          <w:p>
            <w:r>
              <w:rPr>
                <w:rFonts w:ascii="Times New Roman" w:hAnsi="Times New Roman"/>
                <w:sz w:val="20"/>
              </w:rPr>
              <w:t>—</w:t>
            </w:r>
          </w:p>
        </w:tc>
        <w:tc>
          <w:tcPr>
            <w:tcW w:type="dxa" w:w="903"/>
          </w:tcPr>
          <w:p>
            <w:r>
              <w:rPr>
                <w:rFonts w:ascii="Times New Roman" w:hAnsi="Times New Roman"/>
                <w:sz w:val="20"/>
              </w:rPr>
              <w:t>16</w:t>
            </w:r>
          </w:p>
        </w:tc>
        <w:tc>
          <w:tcPr>
            <w:tcW w:type="dxa" w:w="903"/>
          </w:tcPr>
          <w:p>
            <w:r>
              <w:rPr>
                <w:rFonts w:ascii="Times New Roman" w:hAnsi="Times New Roman"/>
                <w:sz w:val="20"/>
              </w:rPr>
              <w:t>65</w:t>
            </w:r>
          </w:p>
        </w:tc>
        <w:tc>
          <w:tcPr>
            <w:tcW w:type="dxa" w:w="903"/>
          </w:tcPr>
          <w:p>
            <w:r>
              <w:rPr>
                <w:rFonts w:ascii="Times New Roman" w:hAnsi="Times New Roman"/>
                <w:sz w:val="20"/>
              </w:rPr>
              <w:t>—</w:t>
            </w:r>
          </w:p>
        </w:tc>
      </w:tr>
    </w:tbl>
    <w:p>
      <w:pPr>
        <w:spacing w:line="360" w:lineRule="auto"/>
        <w:jc w:val="both"/>
      </w:pPr>
      <w:r>
        <w:rPr>
          <w:rFonts w:ascii="Times New Roman" w:hAnsi="Times New Roman"/>
          <w:b w:val="0"/>
          <w:i w:val="0"/>
          <w:sz w:val="24"/>
        </w:rPr>
      </w:r>
    </w:p>
    <w:p>
      <w:pPr>
        <w:spacing w:line="360" w:lineRule="auto"/>
        <w:jc w:val="left"/>
      </w:pPr>
      <w:r>
        <w:rPr>
          <w:rFonts w:ascii="Times New Roman" w:hAnsi="Times New Roman"/>
          <w:b/>
          <w:i w:val="0"/>
          <w:sz w:val="24"/>
        </w:rPr>
        <w:t>Table C3. DISCERN Quality Category Distribution by Platform (n and %)</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rFonts w:ascii="Times New Roman" w:hAnsi="Times New Roman"/>
                <w:b/>
                <w:sz w:val="20"/>
              </w:rPr>
              <w:t>Platform</w:t>
            </w:r>
          </w:p>
        </w:tc>
        <w:tc>
          <w:tcPr>
            <w:tcW w:type="dxa" w:w="1504"/>
          </w:tcPr>
          <w:p>
            <w:r>
              <w:rPr>
                <w:rFonts w:ascii="Times New Roman" w:hAnsi="Times New Roman"/>
                <w:b/>
                <w:sz w:val="20"/>
              </w:rPr>
              <w:t>Very Poor n (%)</w:t>
            </w:r>
          </w:p>
        </w:tc>
        <w:tc>
          <w:tcPr>
            <w:tcW w:type="dxa" w:w="1504"/>
          </w:tcPr>
          <w:p>
            <w:r>
              <w:rPr>
                <w:rFonts w:ascii="Times New Roman" w:hAnsi="Times New Roman"/>
                <w:b/>
                <w:sz w:val="20"/>
              </w:rPr>
              <w:t>Poor n (%)</w:t>
            </w:r>
          </w:p>
        </w:tc>
        <w:tc>
          <w:tcPr>
            <w:tcW w:type="dxa" w:w="1504"/>
          </w:tcPr>
          <w:p>
            <w:r>
              <w:rPr>
                <w:rFonts w:ascii="Times New Roman" w:hAnsi="Times New Roman"/>
                <w:b/>
                <w:sz w:val="20"/>
              </w:rPr>
              <w:t>Fair n (%)</w:t>
            </w:r>
          </w:p>
        </w:tc>
        <w:tc>
          <w:tcPr>
            <w:tcW w:type="dxa" w:w="1504"/>
          </w:tcPr>
          <w:p>
            <w:r>
              <w:rPr>
                <w:rFonts w:ascii="Times New Roman" w:hAnsi="Times New Roman"/>
                <w:b/>
                <w:sz w:val="20"/>
              </w:rPr>
              <w:t>Good n (%)</w:t>
            </w:r>
          </w:p>
        </w:tc>
        <w:tc>
          <w:tcPr>
            <w:tcW w:type="dxa" w:w="1504"/>
          </w:tcPr>
          <w:p>
            <w:r>
              <w:rPr>
                <w:rFonts w:ascii="Times New Roman" w:hAnsi="Times New Roman"/>
                <w:b/>
                <w:sz w:val="20"/>
              </w:rPr>
              <w:t>Excellent n (%)</w:t>
            </w:r>
          </w:p>
        </w:tc>
      </w:tr>
      <w:tr>
        <w:tc>
          <w:tcPr>
            <w:tcW w:type="dxa" w:w="1504"/>
          </w:tcPr>
          <w:p>
            <w:r>
              <w:rPr>
                <w:rFonts w:ascii="Times New Roman" w:hAnsi="Times New Roman"/>
                <w:sz w:val="20"/>
              </w:rPr>
              <w:t>Website</w:t>
            </w:r>
          </w:p>
        </w:tc>
        <w:tc>
          <w:tcPr>
            <w:tcW w:type="dxa" w:w="1504"/>
          </w:tcPr>
          <w:p>
            <w:r>
              <w:rPr>
                <w:rFonts w:ascii="Times New Roman" w:hAnsi="Times New Roman"/>
                <w:sz w:val="20"/>
              </w:rPr>
              <w:t>0 (0%)</w:t>
            </w:r>
          </w:p>
        </w:tc>
        <w:tc>
          <w:tcPr>
            <w:tcW w:type="dxa" w:w="1504"/>
          </w:tcPr>
          <w:p>
            <w:r>
              <w:rPr>
                <w:rFonts w:ascii="Times New Roman" w:hAnsi="Times New Roman"/>
                <w:sz w:val="20"/>
              </w:rPr>
              <w:t>4 (8%)</w:t>
            </w:r>
          </w:p>
        </w:tc>
        <w:tc>
          <w:tcPr>
            <w:tcW w:type="dxa" w:w="1504"/>
          </w:tcPr>
          <w:p>
            <w:r>
              <w:rPr>
                <w:rFonts w:ascii="Times New Roman" w:hAnsi="Times New Roman"/>
                <w:sz w:val="20"/>
              </w:rPr>
              <w:t>23 (46%)</w:t>
            </w:r>
          </w:p>
        </w:tc>
        <w:tc>
          <w:tcPr>
            <w:tcW w:type="dxa" w:w="1504"/>
          </w:tcPr>
          <w:p>
            <w:r>
              <w:rPr>
                <w:rFonts w:ascii="Times New Roman" w:hAnsi="Times New Roman"/>
                <w:sz w:val="20"/>
              </w:rPr>
              <w:t>22 (44%)</w:t>
            </w:r>
          </w:p>
        </w:tc>
        <w:tc>
          <w:tcPr>
            <w:tcW w:type="dxa" w:w="1504"/>
          </w:tcPr>
          <w:p>
            <w:r>
              <w:rPr>
                <w:rFonts w:ascii="Times New Roman" w:hAnsi="Times New Roman"/>
                <w:sz w:val="20"/>
              </w:rPr>
              <w:t>1 (2%)</w:t>
            </w:r>
          </w:p>
        </w:tc>
      </w:tr>
      <w:tr>
        <w:tc>
          <w:tcPr>
            <w:tcW w:type="dxa" w:w="1504"/>
          </w:tcPr>
          <w:p>
            <w:r>
              <w:rPr>
                <w:rFonts w:ascii="Times New Roman" w:hAnsi="Times New Roman"/>
                <w:sz w:val="20"/>
              </w:rPr>
              <w:t>YouTube</w:t>
            </w:r>
          </w:p>
        </w:tc>
        <w:tc>
          <w:tcPr>
            <w:tcW w:type="dxa" w:w="1504"/>
          </w:tcPr>
          <w:p>
            <w:r>
              <w:rPr>
                <w:rFonts w:ascii="Times New Roman" w:hAnsi="Times New Roman"/>
                <w:sz w:val="20"/>
              </w:rPr>
              <w:t>0 (0%)</w:t>
            </w:r>
          </w:p>
        </w:tc>
        <w:tc>
          <w:tcPr>
            <w:tcW w:type="dxa" w:w="1504"/>
          </w:tcPr>
          <w:p>
            <w:r>
              <w:rPr>
                <w:rFonts w:ascii="Times New Roman" w:hAnsi="Times New Roman"/>
                <w:sz w:val="20"/>
              </w:rPr>
              <w:t>23 (46%)</w:t>
            </w:r>
          </w:p>
        </w:tc>
        <w:tc>
          <w:tcPr>
            <w:tcW w:type="dxa" w:w="1504"/>
          </w:tcPr>
          <w:p>
            <w:r>
              <w:rPr>
                <w:rFonts w:ascii="Times New Roman" w:hAnsi="Times New Roman"/>
                <w:sz w:val="20"/>
              </w:rPr>
              <w:t>24 (48%)</w:t>
            </w:r>
          </w:p>
        </w:tc>
        <w:tc>
          <w:tcPr>
            <w:tcW w:type="dxa" w:w="1504"/>
          </w:tcPr>
          <w:p>
            <w:r>
              <w:rPr>
                <w:rFonts w:ascii="Times New Roman" w:hAnsi="Times New Roman"/>
                <w:sz w:val="20"/>
              </w:rPr>
              <w:t>3 (6%)</w:t>
            </w:r>
          </w:p>
        </w:tc>
        <w:tc>
          <w:tcPr>
            <w:tcW w:type="dxa" w:w="1504"/>
          </w:tcPr>
          <w:p>
            <w:r>
              <w:rPr>
                <w:rFonts w:ascii="Times New Roman" w:hAnsi="Times New Roman"/>
                <w:sz w:val="20"/>
              </w:rPr>
              <w:t>0 (0%)</w:t>
            </w:r>
          </w:p>
        </w:tc>
      </w:tr>
      <w:tr>
        <w:tc>
          <w:tcPr>
            <w:tcW w:type="dxa" w:w="1504"/>
          </w:tcPr>
          <w:p>
            <w:r>
              <w:rPr>
                <w:rFonts w:ascii="Times New Roman" w:hAnsi="Times New Roman"/>
                <w:sz w:val="20"/>
              </w:rPr>
              <w:t>TikTok</w:t>
            </w:r>
          </w:p>
        </w:tc>
        <w:tc>
          <w:tcPr>
            <w:tcW w:type="dxa" w:w="1504"/>
          </w:tcPr>
          <w:p>
            <w:r>
              <w:rPr>
                <w:rFonts w:ascii="Times New Roman" w:hAnsi="Times New Roman"/>
                <w:sz w:val="20"/>
              </w:rPr>
              <w:t>7 (14%)</w:t>
            </w:r>
          </w:p>
        </w:tc>
        <w:tc>
          <w:tcPr>
            <w:tcW w:type="dxa" w:w="1504"/>
          </w:tcPr>
          <w:p>
            <w:r>
              <w:rPr>
                <w:rFonts w:ascii="Times New Roman" w:hAnsi="Times New Roman"/>
                <w:sz w:val="20"/>
              </w:rPr>
              <w:t>35 (70%)</w:t>
            </w:r>
          </w:p>
        </w:tc>
        <w:tc>
          <w:tcPr>
            <w:tcW w:type="dxa" w:w="1504"/>
          </w:tcPr>
          <w:p>
            <w:r>
              <w:rPr>
                <w:rFonts w:ascii="Times New Roman" w:hAnsi="Times New Roman"/>
                <w:sz w:val="20"/>
              </w:rPr>
              <w:t>8 (16%)</w:t>
            </w:r>
          </w:p>
        </w:tc>
        <w:tc>
          <w:tcPr>
            <w:tcW w:type="dxa" w:w="1504"/>
          </w:tcPr>
          <w:p>
            <w:r>
              <w:rPr>
                <w:rFonts w:ascii="Times New Roman" w:hAnsi="Times New Roman"/>
                <w:sz w:val="20"/>
              </w:rPr>
              <w:t>0 (0%)</w:t>
            </w:r>
          </w:p>
        </w:tc>
        <w:tc>
          <w:tcPr>
            <w:tcW w:type="dxa" w:w="1504"/>
          </w:tcPr>
          <w:p>
            <w:r>
              <w:rPr>
                <w:rFonts w:ascii="Times New Roman" w:hAnsi="Times New Roman"/>
                <w:sz w:val="20"/>
              </w:rPr>
              <w:t>0 (0%)</w:t>
            </w:r>
          </w:p>
        </w:tc>
      </w:tr>
      <w:tr>
        <w:tc>
          <w:tcPr>
            <w:tcW w:type="dxa" w:w="1504"/>
          </w:tcPr>
          <w:p>
            <w:r>
              <w:rPr>
                <w:rFonts w:ascii="Times New Roman" w:hAnsi="Times New Roman"/>
                <w:sz w:val="20"/>
              </w:rPr>
              <w:t>Instagram</w:t>
            </w:r>
          </w:p>
        </w:tc>
        <w:tc>
          <w:tcPr>
            <w:tcW w:type="dxa" w:w="1504"/>
          </w:tcPr>
          <w:p>
            <w:r>
              <w:rPr>
                <w:rFonts w:ascii="Times New Roman" w:hAnsi="Times New Roman"/>
                <w:sz w:val="20"/>
              </w:rPr>
              <w:t>30 (60%)</w:t>
            </w:r>
          </w:p>
        </w:tc>
        <w:tc>
          <w:tcPr>
            <w:tcW w:type="dxa" w:w="1504"/>
          </w:tcPr>
          <w:p>
            <w:r>
              <w:rPr>
                <w:rFonts w:ascii="Times New Roman" w:hAnsi="Times New Roman"/>
                <w:sz w:val="20"/>
              </w:rPr>
              <w:t>20 (40%)</w:t>
            </w:r>
          </w:p>
        </w:tc>
        <w:tc>
          <w:tcPr>
            <w:tcW w:type="dxa" w:w="1504"/>
          </w:tcPr>
          <w:p>
            <w:r>
              <w:rPr>
                <w:rFonts w:ascii="Times New Roman" w:hAnsi="Times New Roman"/>
                <w:sz w:val="20"/>
              </w:rPr>
              <w:t>0 (0%)</w:t>
            </w:r>
          </w:p>
        </w:tc>
        <w:tc>
          <w:tcPr>
            <w:tcW w:type="dxa" w:w="1504"/>
          </w:tcPr>
          <w:p>
            <w:r>
              <w:rPr>
                <w:rFonts w:ascii="Times New Roman" w:hAnsi="Times New Roman"/>
                <w:sz w:val="20"/>
              </w:rPr>
              <w:t>0 (0%)</w:t>
            </w:r>
          </w:p>
        </w:tc>
        <w:tc>
          <w:tcPr>
            <w:tcW w:type="dxa" w:w="1504"/>
          </w:tcPr>
          <w:p>
            <w:r>
              <w:rPr>
                <w:rFonts w:ascii="Times New Roman" w:hAnsi="Times New Roman"/>
                <w:sz w:val="20"/>
              </w:rPr>
              <w:t>0 (0%)</w:t>
            </w:r>
          </w:p>
        </w:tc>
      </w:tr>
    </w:tbl>
    <w:p>
      <w:pPr>
        <w:spacing w:line="360" w:lineRule="auto"/>
        <w:jc w:val="both"/>
      </w:pPr>
      <w:r>
        <w:rPr>
          <w:rFonts w:ascii="Times New Roman" w:hAnsi="Times New Roman"/>
          <w:b w:val="0"/>
          <w:i w:val="0"/>
          <w:sz w:val="24"/>
        </w:rPr>
      </w:r>
    </w:p>
    <w:p>
      <w:pPr>
        <w:spacing w:line="360" w:lineRule="auto"/>
        <w:jc w:val="left"/>
      </w:pPr>
      <w:r>
        <w:rPr>
          <w:rFonts w:ascii="Times New Roman" w:hAnsi="Times New Roman"/>
          <w:b/>
          <w:i w:val="0"/>
          <w:sz w:val="24"/>
        </w:rPr>
        <w:t>Table C4. JAMA Benchmark Compliance by Platform (% Yes)</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rFonts w:ascii="Times New Roman" w:hAnsi="Times New Roman"/>
                <w:b/>
                <w:sz w:val="20"/>
              </w:rPr>
              <w:t>Platform</w:t>
            </w:r>
          </w:p>
        </w:tc>
        <w:tc>
          <w:tcPr>
            <w:tcW w:type="dxa" w:w="1504"/>
          </w:tcPr>
          <w:p>
            <w:r>
              <w:rPr>
                <w:rFonts w:ascii="Times New Roman" w:hAnsi="Times New Roman"/>
                <w:b/>
                <w:sz w:val="20"/>
              </w:rPr>
              <w:t>Authorship</w:t>
            </w:r>
          </w:p>
        </w:tc>
        <w:tc>
          <w:tcPr>
            <w:tcW w:type="dxa" w:w="1504"/>
          </w:tcPr>
          <w:p>
            <w:r>
              <w:rPr>
                <w:rFonts w:ascii="Times New Roman" w:hAnsi="Times New Roman"/>
                <w:b/>
                <w:sz w:val="20"/>
              </w:rPr>
              <w:t>Attribution</w:t>
            </w:r>
          </w:p>
        </w:tc>
        <w:tc>
          <w:tcPr>
            <w:tcW w:type="dxa" w:w="1504"/>
          </w:tcPr>
          <w:p>
            <w:r>
              <w:rPr>
                <w:rFonts w:ascii="Times New Roman" w:hAnsi="Times New Roman"/>
                <w:b/>
                <w:sz w:val="20"/>
              </w:rPr>
              <w:t>Disclosure</w:t>
            </w:r>
          </w:p>
        </w:tc>
        <w:tc>
          <w:tcPr>
            <w:tcW w:type="dxa" w:w="1504"/>
          </w:tcPr>
          <w:p>
            <w:r>
              <w:rPr>
                <w:rFonts w:ascii="Times New Roman" w:hAnsi="Times New Roman"/>
                <w:b/>
                <w:sz w:val="20"/>
              </w:rPr>
              <w:t>Currency</w:t>
            </w:r>
          </w:p>
        </w:tc>
        <w:tc>
          <w:tcPr>
            <w:tcW w:type="dxa" w:w="1504"/>
          </w:tcPr>
          <w:p>
            <w:r>
              <w:rPr>
                <w:rFonts w:ascii="Times New Roman" w:hAnsi="Times New Roman"/>
                <w:b/>
                <w:sz w:val="20"/>
              </w:rPr>
              <w:t>Mean Total</w:t>
            </w:r>
          </w:p>
        </w:tc>
      </w:tr>
      <w:tr>
        <w:tc>
          <w:tcPr>
            <w:tcW w:type="dxa" w:w="1504"/>
          </w:tcPr>
          <w:p>
            <w:r>
              <w:rPr>
                <w:rFonts w:ascii="Times New Roman" w:hAnsi="Times New Roman"/>
                <w:sz w:val="20"/>
              </w:rPr>
              <w:t>Website</w:t>
            </w:r>
          </w:p>
        </w:tc>
        <w:tc>
          <w:tcPr>
            <w:tcW w:type="dxa" w:w="1504"/>
          </w:tcPr>
          <w:p>
            <w:r>
              <w:rPr>
                <w:rFonts w:ascii="Times New Roman" w:hAnsi="Times New Roman"/>
                <w:sz w:val="20"/>
              </w:rPr>
              <w:t>30%</w:t>
            </w:r>
          </w:p>
        </w:tc>
        <w:tc>
          <w:tcPr>
            <w:tcW w:type="dxa" w:w="1504"/>
          </w:tcPr>
          <w:p>
            <w:r>
              <w:rPr>
                <w:rFonts w:ascii="Times New Roman" w:hAnsi="Times New Roman"/>
                <w:sz w:val="20"/>
              </w:rPr>
              <w:t>30%</w:t>
            </w:r>
          </w:p>
        </w:tc>
        <w:tc>
          <w:tcPr>
            <w:tcW w:type="dxa" w:w="1504"/>
          </w:tcPr>
          <w:p>
            <w:r>
              <w:rPr>
                <w:rFonts w:ascii="Times New Roman" w:hAnsi="Times New Roman"/>
                <w:sz w:val="20"/>
              </w:rPr>
              <w:t>16%</w:t>
            </w:r>
          </w:p>
        </w:tc>
        <w:tc>
          <w:tcPr>
            <w:tcW w:type="dxa" w:w="1504"/>
          </w:tcPr>
          <w:p>
            <w:r>
              <w:rPr>
                <w:rFonts w:ascii="Times New Roman" w:hAnsi="Times New Roman"/>
                <w:sz w:val="20"/>
              </w:rPr>
              <w:t>68%</w:t>
            </w:r>
          </w:p>
        </w:tc>
        <w:tc>
          <w:tcPr>
            <w:tcW w:type="dxa" w:w="1504"/>
          </w:tcPr>
          <w:p>
            <w:r>
              <w:rPr>
                <w:rFonts w:ascii="Times New Roman" w:hAnsi="Times New Roman"/>
                <w:sz w:val="20"/>
              </w:rPr>
              <w:t>1.44</w:t>
            </w:r>
          </w:p>
        </w:tc>
      </w:tr>
      <w:tr>
        <w:tc>
          <w:tcPr>
            <w:tcW w:type="dxa" w:w="1504"/>
          </w:tcPr>
          <w:p>
            <w:r>
              <w:rPr>
                <w:rFonts w:ascii="Times New Roman" w:hAnsi="Times New Roman"/>
                <w:sz w:val="20"/>
              </w:rPr>
              <w:t>YouTube</w:t>
            </w:r>
          </w:p>
        </w:tc>
        <w:tc>
          <w:tcPr>
            <w:tcW w:type="dxa" w:w="1504"/>
          </w:tcPr>
          <w:p>
            <w:r>
              <w:rPr>
                <w:rFonts w:ascii="Times New Roman" w:hAnsi="Times New Roman"/>
                <w:sz w:val="20"/>
              </w:rPr>
              <w:t>38%</w:t>
            </w:r>
          </w:p>
        </w:tc>
        <w:tc>
          <w:tcPr>
            <w:tcW w:type="dxa" w:w="1504"/>
          </w:tcPr>
          <w:p>
            <w:r>
              <w:rPr>
                <w:rFonts w:ascii="Times New Roman" w:hAnsi="Times New Roman"/>
                <w:sz w:val="20"/>
              </w:rPr>
              <w:t>16%</w:t>
            </w:r>
          </w:p>
        </w:tc>
        <w:tc>
          <w:tcPr>
            <w:tcW w:type="dxa" w:w="1504"/>
          </w:tcPr>
          <w:p>
            <w:r>
              <w:rPr>
                <w:rFonts w:ascii="Times New Roman" w:hAnsi="Times New Roman"/>
                <w:sz w:val="20"/>
              </w:rPr>
              <w:t>0%</w:t>
            </w:r>
          </w:p>
        </w:tc>
        <w:tc>
          <w:tcPr>
            <w:tcW w:type="dxa" w:w="1504"/>
          </w:tcPr>
          <w:p>
            <w:r>
              <w:rPr>
                <w:rFonts w:ascii="Times New Roman" w:hAnsi="Times New Roman"/>
                <w:sz w:val="20"/>
              </w:rPr>
              <w:t>100%</w:t>
            </w:r>
          </w:p>
        </w:tc>
        <w:tc>
          <w:tcPr>
            <w:tcW w:type="dxa" w:w="1504"/>
          </w:tcPr>
          <w:p>
            <w:r>
              <w:rPr>
                <w:rFonts w:ascii="Times New Roman" w:hAnsi="Times New Roman"/>
                <w:sz w:val="20"/>
              </w:rPr>
              <w:t>1.54</w:t>
            </w:r>
          </w:p>
        </w:tc>
      </w:tr>
      <w:tr>
        <w:tc>
          <w:tcPr>
            <w:tcW w:type="dxa" w:w="1504"/>
          </w:tcPr>
          <w:p>
            <w:r>
              <w:rPr>
                <w:rFonts w:ascii="Times New Roman" w:hAnsi="Times New Roman"/>
                <w:sz w:val="20"/>
              </w:rPr>
              <w:t>TikTok</w:t>
            </w:r>
          </w:p>
        </w:tc>
        <w:tc>
          <w:tcPr>
            <w:tcW w:type="dxa" w:w="1504"/>
          </w:tcPr>
          <w:p>
            <w:r>
              <w:rPr>
                <w:rFonts w:ascii="Times New Roman" w:hAnsi="Times New Roman"/>
                <w:sz w:val="20"/>
              </w:rPr>
              <w:t>30%</w:t>
            </w:r>
          </w:p>
        </w:tc>
        <w:tc>
          <w:tcPr>
            <w:tcW w:type="dxa" w:w="1504"/>
          </w:tcPr>
          <w:p>
            <w:r>
              <w:rPr>
                <w:rFonts w:ascii="Times New Roman" w:hAnsi="Times New Roman"/>
                <w:sz w:val="20"/>
              </w:rPr>
              <w:t>0%</w:t>
            </w:r>
          </w:p>
        </w:tc>
        <w:tc>
          <w:tcPr>
            <w:tcW w:type="dxa" w:w="1504"/>
          </w:tcPr>
          <w:p>
            <w:r>
              <w:rPr>
                <w:rFonts w:ascii="Times New Roman" w:hAnsi="Times New Roman"/>
                <w:sz w:val="20"/>
              </w:rPr>
              <w:t>14%</w:t>
            </w:r>
          </w:p>
        </w:tc>
        <w:tc>
          <w:tcPr>
            <w:tcW w:type="dxa" w:w="1504"/>
          </w:tcPr>
          <w:p>
            <w:r>
              <w:rPr>
                <w:rFonts w:ascii="Times New Roman" w:hAnsi="Times New Roman"/>
                <w:sz w:val="20"/>
              </w:rPr>
              <w:t>100%</w:t>
            </w:r>
          </w:p>
        </w:tc>
        <w:tc>
          <w:tcPr>
            <w:tcW w:type="dxa" w:w="1504"/>
          </w:tcPr>
          <w:p>
            <w:r>
              <w:rPr>
                <w:rFonts w:ascii="Times New Roman" w:hAnsi="Times New Roman"/>
                <w:sz w:val="20"/>
              </w:rPr>
              <w:t>1.44</w:t>
            </w:r>
          </w:p>
        </w:tc>
      </w:tr>
      <w:tr>
        <w:tc>
          <w:tcPr>
            <w:tcW w:type="dxa" w:w="1504"/>
          </w:tcPr>
          <w:p>
            <w:r>
              <w:rPr>
                <w:rFonts w:ascii="Times New Roman" w:hAnsi="Times New Roman"/>
                <w:sz w:val="20"/>
              </w:rPr>
              <w:t>Instagram</w:t>
            </w:r>
          </w:p>
        </w:tc>
        <w:tc>
          <w:tcPr>
            <w:tcW w:type="dxa" w:w="1504"/>
          </w:tcPr>
          <w:p>
            <w:r>
              <w:rPr>
                <w:rFonts w:ascii="Times New Roman" w:hAnsi="Times New Roman"/>
                <w:sz w:val="20"/>
              </w:rPr>
              <w:t>16%</w:t>
            </w:r>
          </w:p>
        </w:tc>
        <w:tc>
          <w:tcPr>
            <w:tcW w:type="dxa" w:w="1504"/>
          </w:tcPr>
          <w:p>
            <w:r>
              <w:rPr>
                <w:rFonts w:ascii="Times New Roman" w:hAnsi="Times New Roman"/>
                <w:sz w:val="20"/>
              </w:rPr>
              <w:t>4%</w:t>
            </w:r>
          </w:p>
        </w:tc>
        <w:tc>
          <w:tcPr>
            <w:tcW w:type="dxa" w:w="1504"/>
          </w:tcPr>
          <w:p>
            <w:r>
              <w:rPr>
                <w:rFonts w:ascii="Times New Roman" w:hAnsi="Times New Roman"/>
                <w:sz w:val="20"/>
              </w:rPr>
              <w:t>0%</w:t>
            </w:r>
          </w:p>
        </w:tc>
        <w:tc>
          <w:tcPr>
            <w:tcW w:type="dxa" w:w="1504"/>
          </w:tcPr>
          <w:p>
            <w:r>
              <w:rPr>
                <w:rFonts w:ascii="Times New Roman" w:hAnsi="Times New Roman"/>
                <w:sz w:val="20"/>
              </w:rPr>
              <w:t>100%</w:t>
            </w:r>
          </w:p>
        </w:tc>
        <w:tc>
          <w:tcPr>
            <w:tcW w:type="dxa" w:w="1504"/>
          </w:tcPr>
          <w:p>
            <w:r>
              <w:rPr>
                <w:rFonts w:ascii="Times New Roman" w:hAnsi="Times New Roman"/>
                <w:sz w:val="20"/>
              </w:rPr>
              <w:t>1.20</w:t>
            </w:r>
          </w:p>
        </w:tc>
      </w:tr>
    </w:tbl>
    <w:p>
      <w:pPr>
        <w:spacing w:line="360" w:lineRule="auto"/>
        <w:jc w:val="both"/>
      </w:pPr>
      <w:r>
        <w:rPr>
          <w:rFonts w:ascii="Times New Roman" w:hAnsi="Times New Roman"/>
          <w:b w:val="0"/>
          <w:i w:val="0"/>
          <w:sz w:val="24"/>
        </w:rPr>
      </w:r>
    </w:p>
    <w:p>
      <w:pPr>
        <w:pStyle w:val="Heading2"/>
      </w:pPr>
      <w:r>
        <w:rPr>
          <w:rFonts w:ascii="Times New Roman" w:hAnsi="Times New Roman"/>
          <w:color w:val="000000"/>
        </w:rPr>
        <w:t>C.2 Pairwise Comparisons</w:t>
      </w:r>
    </w:p>
    <w:p>
      <w:pPr>
        <w:spacing w:line="360" w:lineRule="auto"/>
        <w:jc w:val="left"/>
      </w:pPr>
      <w:r>
        <w:rPr>
          <w:rFonts w:ascii="Times New Roman" w:hAnsi="Times New Roman"/>
          <w:b/>
          <w:i w:val="0"/>
          <w:sz w:val="24"/>
        </w:rPr>
        <w:t>Table C5. Pairwise Platform Comparisons for DISCERN Total (Mann-Whitney U with Bonferroni Correction)</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0"/>
              </w:rPr>
              <w:t>Comparison</w:t>
            </w:r>
          </w:p>
        </w:tc>
        <w:tc>
          <w:tcPr>
            <w:tcW w:type="dxa" w:w="1805"/>
          </w:tcPr>
          <w:p>
            <w:r>
              <w:rPr>
                <w:rFonts w:ascii="Times New Roman" w:hAnsi="Times New Roman"/>
                <w:b/>
                <w:sz w:val="20"/>
              </w:rPr>
              <w:t>U</w:t>
            </w:r>
          </w:p>
        </w:tc>
        <w:tc>
          <w:tcPr>
            <w:tcW w:type="dxa" w:w="1805"/>
          </w:tcPr>
          <w:p>
            <w:r>
              <w:rPr>
                <w:rFonts w:ascii="Times New Roman" w:hAnsi="Times New Roman"/>
                <w:b/>
                <w:sz w:val="20"/>
              </w:rPr>
              <w:t>p (adjusted)</w:t>
            </w:r>
          </w:p>
        </w:tc>
        <w:tc>
          <w:tcPr>
            <w:tcW w:type="dxa" w:w="1805"/>
          </w:tcPr>
          <w:p>
            <w:r>
              <w:rPr>
                <w:rFonts w:ascii="Times New Roman" w:hAnsi="Times New Roman"/>
                <w:b/>
                <w:sz w:val="20"/>
              </w:rPr>
              <w:t>Effect size (r)</w:t>
            </w:r>
          </w:p>
        </w:tc>
        <w:tc>
          <w:tcPr>
            <w:tcW w:type="dxa" w:w="1805"/>
          </w:tcPr>
          <w:p>
            <w:r>
              <w:rPr>
                <w:rFonts w:ascii="Times New Roman" w:hAnsi="Times New Roman"/>
                <w:b/>
                <w:sz w:val="20"/>
              </w:rPr>
              <w:t>Sig.</w:t>
            </w:r>
          </w:p>
        </w:tc>
      </w:tr>
      <w:tr>
        <w:tc>
          <w:tcPr>
            <w:tcW w:type="dxa" w:w="1805"/>
          </w:tcPr>
          <w:p>
            <w:r>
              <w:rPr>
                <w:rFonts w:ascii="Times New Roman" w:hAnsi="Times New Roman"/>
                <w:sz w:val="20"/>
              </w:rPr>
              <w:t>Website vs YouTube</w:t>
            </w:r>
          </w:p>
        </w:tc>
        <w:tc>
          <w:tcPr>
            <w:tcW w:type="dxa" w:w="1805"/>
          </w:tcPr>
          <w:p>
            <w:r>
              <w:rPr>
                <w:rFonts w:ascii="Times New Roman" w:hAnsi="Times New Roman"/>
                <w:sz w:val="20"/>
              </w:rPr>
              <w:t>1980</w:t>
            </w:r>
          </w:p>
        </w:tc>
        <w:tc>
          <w:tcPr>
            <w:tcW w:type="dxa" w:w="1805"/>
          </w:tcPr>
          <w:p>
            <w:r>
              <w:rPr>
                <w:rFonts w:ascii="Times New Roman" w:hAnsi="Times New Roman"/>
                <w:sz w:val="20"/>
              </w:rPr>
              <w:t>&lt;.0001</w:t>
            </w:r>
          </w:p>
        </w:tc>
        <w:tc>
          <w:tcPr>
            <w:tcW w:type="dxa" w:w="1805"/>
          </w:tcPr>
          <w:p>
            <w:r>
              <w:rPr>
                <w:rFonts w:ascii="Times New Roman" w:hAnsi="Times New Roman"/>
                <w:sz w:val="20"/>
              </w:rPr>
              <w:t>−0.584</w:t>
            </w:r>
          </w:p>
        </w:tc>
        <w:tc>
          <w:tcPr>
            <w:tcW w:type="dxa" w:w="1805"/>
          </w:tcPr>
          <w:p>
            <w:r>
              <w:rPr>
                <w:rFonts w:ascii="Times New Roman" w:hAnsi="Times New Roman"/>
                <w:sz w:val="20"/>
              </w:rPr>
              <w:t>***</w:t>
            </w:r>
          </w:p>
        </w:tc>
      </w:tr>
      <w:tr>
        <w:tc>
          <w:tcPr>
            <w:tcW w:type="dxa" w:w="1805"/>
          </w:tcPr>
          <w:p>
            <w:r>
              <w:rPr>
                <w:rFonts w:ascii="Times New Roman" w:hAnsi="Times New Roman"/>
                <w:sz w:val="20"/>
              </w:rPr>
              <w:t>Website vs TikTok</w:t>
            </w:r>
          </w:p>
        </w:tc>
        <w:tc>
          <w:tcPr>
            <w:tcW w:type="dxa" w:w="1805"/>
          </w:tcPr>
          <w:p>
            <w:r>
              <w:rPr>
                <w:rFonts w:ascii="Times New Roman" w:hAnsi="Times New Roman"/>
                <w:sz w:val="20"/>
              </w:rPr>
              <w:t>2348</w:t>
            </w:r>
          </w:p>
        </w:tc>
        <w:tc>
          <w:tcPr>
            <w:tcW w:type="dxa" w:w="1805"/>
          </w:tcPr>
          <w:p>
            <w:r>
              <w:rPr>
                <w:rFonts w:ascii="Times New Roman" w:hAnsi="Times New Roman"/>
                <w:sz w:val="20"/>
              </w:rPr>
              <w:t>&lt;.0001</w:t>
            </w:r>
          </w:p>
        </w:tc>
        <w:tc>
          <w:tcPr>
            <w:tcW w:type="dxa" w:w="1805"/>
          </w:tcPr>
          <w:p>
            <w:r>
              <w:rPr>
                <w:rFonts w:ascii="Times New Roman" w:hAnsi="Times New Roman"/>
                <w:sz w:val="20"/>
              </w:rPr>
              <w:t>−0.878</w:t>
            </w:r>
          </w:p>
        </w:tc>
        <w:tc>
          <w:tcPr>
            <w:tcW w:type="dxa" w:w="1805"/>
          </w:tcPr>
          <w:p>
            <w:r>
              <w:rPr>
                <w:rFonts w:ascii="Times New Roman" w:hAnsi="Times New Roman"/>
                <w:sz w:val="20"/>
              </w:rPr>
              <w:t>***</w:t>
            </w:r>
          </w:p>
        </w:tc>
      </w:tr>
      <w:tr>
        <w:tc>
          <w:tcPr>
            <w:tcW w:type="dxa" w:w="1805"/>
          </w:tcPr>
          <w:p>
            <w:r>
              <w:rPr>
                <w:rFonts w:ascii="Times New Roman" w:hAnsi="Times New Roman"/>
                <w:sz w:val="20"/>
              </w:rPr>
              <w:t>Website vs Instagram</w:t>
            </w:r>
          </w:p>
        </w:tc>
        <w:tc>
          <w:tcPr>
            <w:tcW w:type="dxa" w:w="1805"/>
          </w:tcPr>
          <w:p>
            <w:r>
              <w:rPr>
                <w:rFonts w:ascii="Times New Roman" w:hAnsi="Times New Roman"/>
                <w:sz w:val="20"/>
              </w:rPr>
              <w:t>2494</w:t>
            </w:r>
          </w:p>
        </w:tc>
        <w:tc>
          <w:tcPr>
            <w:tcW w:type="dxa" w:w="1805"/>
          </w:tcPr>
          <w:p>
            <w:r>
              <w:rPr>
                <w:rFonts w:ascii="Times New Roman" w:hAnsi="Times New Roman"/>
                <w:sz w:val="20"/>
              </w:rPr>
              <w:t>&lt;.0001</w:t>
            </w:r>
          </w:p>
        </w:tc>
        <w:tc>
          <w:tcPr>
            <w:tcW w:type="dxa" w:w="1805"/>
          </w:tcPr>
          <w:p>
            <w:r>
              <w:rPr>
                <w:rFonts w:ascii="Times New Roman" w:hAnsi="Times New Roman"/>
                <w:sz w:val="20"/>
              </w:rPr>
              <w:t>−0.995</w:t>
            </w:r>
          </w:p>
        </w:tc>
        <w:tc>
          <w:tcPr>
            <w:tcW w:type="dxa" w:w="1805"/>
          </w:tcPr>
          <w:p>
            <w:r>
              <w:rPr>
                <w:rFonts w:ascii="Times New Roman" w:hAnsi="Times New Roman"/>
                <w:sz w:val="20"/>
              </w:rPr>
              <w:t>***</w:t>
            </w:r>
          </w:p>
        </w:tc>
      </w:tr>
      <w:tr>
        <w:tc>
          <w:tcPr>
            <w:tcW w:type="dxa" w:w="1805"/>
          </w:tcPr>
          <w:p>
            <w:r>
              <w:rPr>
                <w:rFonts w:ascii="Times New Roman" w:hAnsi="Times New Roman"/>
                <w:sz w:val="20"/>
              </w:rPr>
              <w:t>YouTube vs TikTok</w:t>
            </w:r>
          </w:p>
        </w:tc>
        <w:tc>
          <w:tcPr>
            <w:tcW w:type="dxa" w:w="1805"/>
          </w:tcPr>
          <w:p>
            <w:r>
              <w:rPr>
                <w:rFonts w:ascii="Times New Roman" w:hAnsi="Times New Roman"/>
                <w:sz w:val="20"/>
              </w:rPr>
              <w:t>2030</w:t>
            </w:r>
          </w:p>
        </w:tc>
        <w:tc>
          <w:tcPr>
            <w:tcW w:type="dxa" w:w="1805"/>
          </w:tcPr>
          <w:p>
            <w:r>
              <w:rPr>
                <w:rFonts w:ascii="Times New Roman" w:hAnsi="Times New Roman"/>
                <w:sz w:val="20"/>
              </w:rPr>
              <w:t>&lt;.0001</w:t>
            </w:r>
          </w:p>
        </w:tc>
        <w:tc>
          <w:tcPr>
            <w:tcW w:type="dxa" w:w="1805"/>
          </w:tcPr>
          <w:p>
            <w:r>
              <w:rPr>
                <w:rFonts w:ascii="Times New Roman" w:hAnsi="Times New Roman"/>
                <w:sz w:val="20"/>
              </w:rPr>
              <w:t>−0.624</w:t>
            </w:r>
          </w:p>
        </w:tc>
        <w:tc>
          <w:tcPr>
            <w:tcW w:type="dxa" w:w="1805"/>
          </w:tcPr>
          <w:p>
            <w:r>
              <w:rPr>
                <w:rFonts w:ascii="Times New Roman" w:hAnsi="Times New Roman"/>
                <w:sz w:val="20"/>
              </w:rPr>
              <w:t>***</w:t>
            </w:r>
          </w:p>
        </w:tc>
      </w:tr>
      <w:tr>
        <w:tc>
          <w:tcPr>
            <w:tcW w:type="dxa" w:w="1805"/>
          </w:tcPr>
          <w:p>
            <w:r>
              <w:rPr>
                <w:rFonts w:ascii="Times New Roman" w:hAnsi="Times New Roman"/>
                <w:sz w:val="20"/>
              </w:rPr>
              <w:t>YouTube vs Instagram</w:t>
            </w:r>
          </w:p>
        </w:tc>
        <w:tc>
          <w:tcPr>
            <w:tcW w:type="dxa" w:w="1805"/>
          </w:tcPr>
          <w:p>
            <w:r>
              <w:rPr>
                <w:rFonts w:ascii="Times New Roman" w:hAnsi="Times New Roman"/>
                <w:sz w:val="20"/>
              </w:rPr>
              <w:t>2468</w:t>
            </w:r>
          </w:p>
        </w:tc>
        <w:tc>
          <w:tcPr>
            <w:tcW w:type="dxa" w:w="1805"/>
          </w:tcPr>
          <w:p>
            <w:r>
              <w:rPr>
                <w:rFonts w:ascii="Times New Roman" w:hAnsi="Times New Roman"/>
                <w:sz w:val="20"/>
              </w:rPr>
              <w:t>&lt;.0001</w:t>
            </w:r>
          </w:p>
        </w:tc>
        <w:tc>
          <w:tcPr>
            <w:tcW w:type="dxa" w:w="1805"/>
          </w:tcPr>
          <w:p>
            <w:r>
              <w:rPr>
                <w:rFonts w:ascii="Times New Roman" w:hAnsi="Times New Roman"/>
                <w:sz w:val="20"/>
              </w:rPr>
              <w:t>−0.974</w:t>
            </w:r>
          </w:p>
        </w:tc>
        <w:tc>
          <w:tcPr>
            <w:tcW w:type="dxa" w:w="1805"/>
          </w:tcPr>
          <w:p>
            <w:r>
              <w:rPr>
                <w:rFonts w:ascii="Times New Roman" w:hAnsi="Times New Roman"/>
                <w:sz w:val="20"/>
              </w:rPr>
              <w:t>***</w:t>
            </w:r>
          </w:p>
        </w:tc>
      </w:tr>
      <w:tr>
        <w:tc>
          <w:tcPr>
            <w:tcW w:type="dxa" w:w="1805"/>
          </w:tcPr>
          <w:p>
            <w:r>
              <w:rPr>
                <w:rFonts w:ascii="Times New Roman" w:hAnsi="Times New Roman"/>
                <w:sz w:val="20"/>
              </w:rPr>
              <w:t>TikTok vs Instagram</w:t>
            </w:r>
          </w:p>
        </w:tc>
        <w:tc>
          <w:tcPr>
            <w:tcW w:type="dxa" w:w="1805"/>
          </w:tcPr>
          <w:p>
            <w:r>
              <w:rPr>
                <w:rFonts w:ascii="Times New Roman" w:hAnsi="Times New Roman"/>
                <w:sz w:val="20"/>
              </w:rPr>
              <w:t>2051</w:t>
            </w:r>
          </w:p>
        </w:tc>
        <w:tc>
          <w:tcPr>
            <w:tcW w:type="dxa" w:w="1805"/>
          </w:tcPr>
          <w:p>
            <w:r>
              <w:rPr>
                <w:rFonts w:ascii="Times New Roman" w:hAnsi="Times New Roman"/>
                <w:sz w:val="20"/>
              </w:rPr>
              <w:t>&lt;.0001</w:t>
            </w:r>
          </w:p>
        </w:tc>
        <w:tc>
          <w:tcPr>
            <w:tcW w:type="dxa" w:w="1805"/>
          </w:tcPr>
          <w:p>
            <w:r>
              <w:rPr>
                <w:rFonts w:ascii="Times New Roman" w:hAnsi="Times New Roman"/>
                <w:sz w:val="20"/>
              </w:rPr>
              <w:t>−0.641</w:t>
            </w:r>
          </w:p>
        </w:tc>
        <w:tc>
          <w:tcPr>
            <w:tcW w:type="dxa" w:w="1805"/>
          </w:tcPr>
          <w:p>
            <w:r>
              <w:rPr>
                <w:rFonts w:ascii="Times New Roman" w:hAnsi="Times New Roman"/>
                <w:sz w:val="20"/>
              </w:rPr>
              <w:t>***</w:t>
            </w:r>
          </w:p>
        </w:tc>
      </w:tr>
    </w:tbl>
    <w:p>
      <w:pPr>
        <w:spacing w:line="360" w:lineRule="auto"/>
        <w:jc w:val="both"/>
      </w:pPr>
      <w:r>
        <w:rPr>
          <w:rFonts w:ascii="Times New Roman" w:hAnsi="Times New Roman"/>
          <w:b w:val="0"/>
          <w:i/>
          <w:sz w:val="24"/>
        </w:rPr>
        <w:t>Note. *** p &lt; .001. Effect size r computed as Z / sqrt(N).</w:t>
      </w:r>
    </w:p>
    <w:p>
      <w:pPr>
        <w:spacing w:line="360" w:lineRule="auto"/>
        <w:jc w:val="both"/>
      </w:pPr>
      <w:r>
        <w:rPr>
          <w:rFonts w:ascii="Times New Roman" w:hAnsi="Times New Roman"/>
          <w:b w:val="0"/>
          <w:i w:val="0"/>
          <w:sz w:val="24"/>
        </w:rPr>
      </w:r>
    </w:p>
    <w:p>
      <w:pPr>
        <w:pStyle w:val="Heading2"/>
      </w:pPr>
      <w:r>
        <w:rPr>
          <w:rFonts w:ascii="Times New Roman" w:hAnsi="Times New Roman"/>
          <w:color w:val="000000"/>
        </w:rPr>
        <w:t>C.3 Engagement–Quality Correlations</w:t>
      </w:r>
    </w:p>
    <w:p>
      <w:pPr>
        <w:spacing w:line="360" w:lineRule="auto"/>
        <w:jc w:val="left"/>
      </w:pPr>
      <w:r>
        <w:rPr>
          <w:rFonts w:ascii="Times New Roman" w:hAnsi="Times New Roman"/>
          <w:b/>
          <w:i w:val="0"/>
          <w:sz w:val="24"/>
        </w:rPr>
        <w:t>Table C6. Spearman Correlations Between Engagement Metrics and DISCERN Total by Platform</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rFonts w:ascii="Times New Roman" w:hAnsi="Times New Roman"/>
                <w:b/>
                <w:sz w:val="20"/>
              </w:rPr>
              <w:t>Platform</w:t>
            </w:r>
          </w:p>
        </w:tc>
        <w:tc>
          <w:tcPr>
            <w:tcW w:type="dxa" w:w="1504"/>
          </w:tcPr>
          <w:p>
            <w:r>
              <w:rPr>
                <w:rFonts w:ascii="Times New Roman" w:hAnsi="Times New Roman"/>
                <w:b/>
                <w:sz w:val="20"/>
              </w:rPr>
              <w:t>Metric</w:t>
            </w:r>
          </w:p>
        </w:tc>
        <w:tc>
          <w:tcPr>
            <w:tcW w:type="dxa" w:w="1504"/>
          </w:tcPr>
          <w:p>
            <w:r>
              <w:rPr>
                <w:rFonts w:ascii="Times New Roman" w:hAnsi="Times New Roman"/>
                <w:b/>
                <w:sz w:val="20"/>
              </w:rPr>
              <w:t>n</w:t>
            </w:r>
          </w:p>
        </w:tc>
        <w:tc>
          <w:tcPr>
            <w:tcW w:type="dxa" w:w="1504"/>
          </w:tcPr>
          <w:p>
            <w:r>
              <w:rPr>
                <w:rFonts w:ascii="Times New Roman" w:hAnsi="Times New Roman"/>
                <w:b/>
                <w:sz w:val="20"/>
              </w:rPr>
              <w:t>rho</w:t>
            </w:r>
          </w:p>
        </w:tc>
        <w:tc>
          <w:tcPr>
            <w:tcW w:type="dxa" w:w="1504"/>
          </w:tcPr>
          <w:p>
            <w:r>
              <w:rPr>
                <w:rFonts w:ascii="Times New Roman" w:hAnsi="Times New Roman"/>
                <w:b/>
                <w:sz w:val="20"/>
              </w:rPr>
              <w:t>p</w:t>
            </w:r>
          </w:p>
        </w:tc>
        <w:tc>
          <w:tcPr>
            <w:tcW w:type="dxa" w:w="1504"/>
          </w:tcPr>
          <w:p>
            <w:r>
              <w:rPr>
                <w:rFonts w:ascii="Times New Roman" w:hAnsi="Times New Roman"/>
                <w:b/>
                <w:sz w:val="20"/>
              </w:rPr>
              <w:t>Sig.</w:t>
            </w:r>
          </w:p>
        </w:tc>
      </w:tr>
      <w:tr>
        <w:tc>
          <w:tcPr>
            <w:tcW w:type="dxa" w:w="1504"/>
          </w:tcPr>
          <w:p>
            <w:r>
              <w:rPr>
                <w:rFonts w:ascii="Times New Roman" w:hAnsi="Times New Roman"/>
                <w:sz w:val="20"/>
              </w:rPr>
              <w:t>Overall</w:t>
            </w:r>
          </w:p>
        </w:tc>
        <w:tc>
          <w:tcPr>
            <w:tcW w:type="dxa" w:w="1504"/>
          </w:tcPr>
          <w:p>
            <w:r>
              <w:rPr>
                <w:rFonts w:ascii="Times New Roman" w:hAnsi="Times New Roman"/>
                <w:sz w:val="20"/>
              </w:rPr>
              <w:t>Views</w:t>
            </w:r>
          </w:p>
        </w:tc>
        <w:tc>
          <w:tcPr>
            <w:tcW w:type="dxa" w:w="1504"/>
          </w:tcPr>
          <w:p>
            <w:r>
              <w:rPr>
                <w:rFonts w:ascii="Times New Roman" w:hAnsi="Times New Roman"/>
                <w:sz w:val="20"/>
              </w:rPr>
              <w:t>63</w:t>
            </w:r>
          </w:p>
        </w:tc>
        <w:tc>
          <w:tcPr>
            <w:tcW w:type="dxa" w:w="1504"/>
          </w:tcPr>
          <w:p>
            <w:r>
              <w:rPr>
                <w:rFonts w:ascii="Times New Roman" w:hAnsi="Times New Roman"/>
                <w:sz w:val="20"/>
              </w:rPr>
              <w:t>.017</w:t>
            </w:r>
          </w:p>
        </w:tc>
        <w:tc>
          <w:tcPr>
            <w:tcW w:type="dxa" w:w="1504"/>
          </w:tcPr>
          <w:p>
            <w:r>
              <w:rPr>
                <w:rFonts w:ascii="Times New Roman" w:hAnsi="Times New Roman"/>
                <w:sz w:val="20"/>
              </w:rPr>
              <w:t>.894</w:t>
            </w:r>
          </w:p>
        </w:tc>
        <w:tc>
          <w:tcPr>
            <w:tcW w:type="dxa" w:w="1504"/>
          </w:tcPr>
          <w:p>
            <w:r>
              <w:rPr>
                <w:rFonts w:ascii="Times New Roman" w:hAnsi="Times New Roman"/>
                <w:sz w:val="20"/>
              </w:rPr>
            </w:r>
          </w:p>
        </w:tc>
      </w:tr>
      <w:tr>
        <w:tc>
          <w:tcPr>
            <w:tcW w:type="dxa" w:w="1504"/>
          </w:tcPr>
          <w:p>
            <w:r>
              <w:rPr>
                <w:rFonts w:ascii="Times New Roman" w:hAnsi="Times New Roman"/>
                <w:sz w:val="20"/>
              </w:rPr>
              <w:t>Overall</w:t>
            </w:r>
          </w:p>
        </w:tc>
        <w:tc>
          <w:tcPr>
            <w:tcW w:type="dxa" w:w="1504"/>
          </w:tcPr>
          <w:p>
            <w:r>
              <w:rPr>
                <w:rFonts w:ascii="Times New Roman" w:hAnsi="Times New Roman"/>
                <w:sz w:val="20"/>
              </w:rPr>
              <w:t>Likes</w:t>
            </w:r>
          </w:p>
        </w:tc>
        <w:tc>
          <w:tcPr>
            <w:tcW w:type="dxa" w:w="1504"/>
          </w:tcPr>
          <w:p>
            <w:r>
              <w:rPr>
                <w:rFonts w:ascii="Times New Roman" w:hAnsi="Times New Roman"/>
                <w:sz w:val="20"/>
              </w:rPr>
              <w:t>121</w:t>
            </w:r>
          </w:p>
        </w:tc>
        <w:tc>
          <w:tcPr>
            <w:tcW w:type="dxa" w:w="1504"/>
          </w:tcPr>
          <w:p>
            <w:r>
              <w:rPr>
                <w:rFonts w:ascii="Times New Roman" w:hAnsi="Times New Roman"/>
                <w:sz w:val="20"/>
              </w:rPr>
              <w:t>.549</w:t>
            </w:r>
          </w:p>
        </w:tc>
        <w:tc>
          <w:tcPr>
            <w:tcW w:type="dxa" w:w="1504"/>
          </w:tcPr>
          <w:p>
            <w:r>
              <w:rPr>
                <w:rFonts w:ascii="Times New Roman" w:hAnsi="Times New Roman"/>
                <w:sz w:val="20"/>
              </w:rPr>
              <w:t>&lt;.001</w:t>
            </w:r>
          </w:p>
        </w:tc>
        <w:tc>
          <w:tcPr>
            <w:tcW w:type="dxa" w:w="1504"/>
          </w:tcPr>
          <w:p>
            <w:r>
              <w:rPr>
                <w:rFonts w:ascii="Times New Roman" w:hAnsi="Times New Roman"/>
                <w:sz w:val="20"/>
              </w:rPr>
              <w:t>***</w:t>
            </w:r>
          </w:p>
        </w:tc>
      </w:tr>
      <w:tr>
        <w:tc>
          <w:tcPr>
            <w:tcW w:type="dxa" w:w="1504"/>
          </w:tcPr>
          <w:p>
            <w:r>
              <w:rPr>
                <w:rFonts w:ascii="Times New Roman" w:hAnsi="Times New Roman"/>
                <w:sz w:val="20"/>
              </w:rPr>
              <w:t>Overall</w:t>
            </w:r>
          </w:p>
        </w:tc>
        <w:tc>
          <w:tcPr>
            <w:tcW w:type="dxa" w:w="1504"/>
          </w:tcPr>
          <w:p>
            <w:r>
              <w:rPr>
                <w:rFonts w:ascii="Times New Roman" w:hAnsi="Times New Roman"/>
                <w:sz w:val="20"/>
              </w:rPr>
              <w:t>Comments</w:t>
            </w:r>
          </w:p>
        </w:tc>
        <w:tc>
          <w:tcPr>
            <w:tcW w:type="dxa" w:w="1504"/>
          </w:tcPr>
          <w:p>
            <w:r>
              <w:rPr>
                <w:rFonts w:ascii="Times New Roman" w:hAnsi="Times New Roman"/>
                <w:sz w:val="20"/>
              </w:rPr>
              <w:t>111</w:t>
            </w:r>
          </w:p>
        </w:tc>
        <w:tc>
          <w:tcPr>
            <w:tcW w:type="dxa" w:w="1504"/>
          </w:tcPr>
          <w:p>
            <w:r>
              <w:rPr>
                <w:rFonts w:ascii="Times New Roman" w:hAnsi="Times New Roman"/>
                <w:sz w:val="20"/>
              </w:rPr>
              <w:t>.520</w:t>
            </w:r>
          </w:p>
        </w:tc>
        <w:tc>
          <w:tcPr>
            <w:tcW w:type="dxa" w:w="1504"/>
          </w:tcPr>
          <w:p>
            <w:r>
              <w:rPr>
                <w:rFonts w:ascii="Times New Roman" w:hAnsi="Times New Roman"/>
                <w:sz w:val="20"/>
              </w:rPr>
              <w:t>&lt;.001</w:t>
            </w:r>
          </w:p>
        </w:tc>
        <w:tc>
          <w:tcPr>
            <w:tcW w:type="dxa" w:w="1504"/>
          </w:tcPr>
          <w:p>
            <w:r>
              <w:rPr>
                <w:rFonts w:ascii="Times New Roman" w:hAnsi="Times New Roman"/>
                <w:sz w:val="20"/>
              </w:rPr>
              <w:t>***</w:t>
            </w:r>
          </w:p>
        </w:tc>
      </w:tr>
      <w:tr>
        <w:tc>
          <w:tcPr>
            <w:tcW w:type="dxa" w:w="1504"/>
          </w:tcPr>
          <w:p>
            <w:r>
              <w:rPr>
                <w:rFonts w:ascii="Times New Roman" w:hAnsi="Times New Roman"/>
                <w:sz w:val="20"/>
              </w:rPr>
              <w:t>YouTube</w:t>
            </w:r>
          </w:p>
        </w:tc>
        <w:tc>
          <w:tcPr>
            <w:tcW w:type="dxa" w:w="1504"/>
          </w:tcPr>
          <w:p>
            <w:r>
              <w:rPr>
                <w:rFonts w:ascii="Times New Roman" w:hAnsi="Times New Roman"/>
                <w:sz w:val="20"/>
              </w:rPr>
              <w:t>Views</w:t>
            </w:r>
          </w:p>
        </w:tc>
        <w:tc>
          <w:tcPr>
            <w:tcW w:type="dxa" w:w="1504"/>
          </w:tcPr>
          <w:p>
            <w:r>
              <w:rPr>
                <w:rFonts w:ascii="Times New Roman" w:hAnsi="Times New Roman"/>
                <w:sz w:val="20"/>
              </w:rPr>
              <w:t>—</w:t>
            </w:r>
          </w:p>
        </w:tc>
        <w:tc>
          <w:tcPr>
            <w:tcW w:type="dxa" w:w="1504"/>
          </w:tcPr>
          <w:p>
            <w:r>
              <w:rPr>
                <w:rFonts w:ascii="Times New Roman" w:hAnsi="Times New Roman"/>
                <w:sz w:val="20"/>
              </w:rPr>
              <w:t>−.352</w:t>
            </w:r>
          </w:p>
        </w:tc>
        <w:tc>
          <w:tcPr>
            <w:tcW w:type="dxa" w:w="1504"/>
          </w:tcPr>
          <w:p>
            <w:r>
              <w:rPr>
                <w:rFonts w:ascii="Times New Roman" w:hAnsi="Times New Roman"/>
                <w:sz w:val="20"/>
              </w:rPr>
              <w:t>.018</w:t>
            </w:r>
          </w:p>
        </w:tc>
        <w:tc>
          <w:tcPr>
            <w:tcW w:type="dxa" w:w="1504"/>
          </w:tcPr>
          <w:p>
            <w:r>
              <w:rPr>
                <w:rFonts w:ascii="Times New Roman" w:hAnsi="Times New Roman"/>
                <w:sz w:val="20"/>
              </w:rPr>
              <w:t>*</w:t>
            </w:r>
          </w:p>
        </w:tc>
      </w:tr>
      <w:tr>
        <w:tc>
          <w:tcPr>
            <w:tcW w:type="dxa" w:w="1504"/>
          </w:tcPr>
          <w:p>
            <w:r>
              <w:rPr>
                <w:rFonts w:ascii="Times New Roman" w:hAnsi="Times New Roman"/>
                <w:sz w:val="20"/>
              </w:rPr>
              <w:t>YouTube</w:t>
            </w:r>
          </w:p>
        </w:tc>
        <w:tc>
          <w:tcPr>
            <w:tcW w:type="dxa" w:w="1504"/>
          </w:tcPr>
          <w:p>
            <w:r>
              <w:rPr>
                <w:rFonts w:ascii="Times New Roman" w:hAnsi="Times New Roman"/>
                <w:sz w:val="20"/>
              </w:rPr>
              <w:t>Likes</w:t>
            </w:r>
          </w:p>
        </w:tc>
        <w:tc>
          <w:tcPr>
            <w:tcW w:type="dxa" w:w="1504"/>
          </w:tcPr>
          <w:p>
            <w:r>
              <w:rPr>
                <w:rFonts w:ascii="Times New Roman" w:hAnsi="Times New Roman"/>
                <w:sz w:val="20"/>
              </w:rPr>
              <w:t>—</w:t>
            </w:r>
          </w:p>
        </w:tc>
        <w:tc>
          <w:tcPr>
            <w:tcW w:type="dxa" w:w="1504"/>
          </w:tcPr>
          <w:p>
            <w:r>
              <w:rPr>
                <w:rFonts w:ascii="Times New Roman" w:hAnsi="Times New Roman"/>
                <w:sz w:val="20"/>
              </w:rPr>
              <w:t>−.338</w:t>
            </w:r>
          </w:p>
        </w:tc>
        <w:tc>
          <w:tcPr>
            <w:tcW w:type="dxa" w:w="1504"/>
          </w:tcPr>
          <w:p>
            <w:r>
              <w:rPr>
                <w:rFonts w:ascii="Times New Roman" w:hAnsi="Times New Roman"/>
                <w:sz w:val="20"/>
              </w:rPr>
              <w:t>.023</w:t>
            </w:r>
          </w:p>
        </w:tc>
        <w:tc>
          <w:tcPr>
            <w:tcW w:type="dxa" w:w="1504"/>
          </w:tcPr>
          <w:p>
            <w:r>
              <w:rPr>
                <w:rFonts w:ascii="Times New Roman" w:hAnsi="Times New Roman"/>
                <w:sz w:val="20"/>
              </w:rPr>
              <w:t>*</w:t>
            </w:r>
          </w:p>
        </w:tc>
      </w:tr>
      <w:tr>
        <w:tc>
          <w:tcPr>
            <w:tcW w:type="dxa" w:w="1504"/>
          </w:tcPr>
          <w:p>
            <w:r>
              <w:rPr>
                <w:rFonts w:ascii="Times New Roman" w:hAnsi="Times New Roman"/>
                <w:sz w:val="20"/>
              </w:rPr>
              <w:t>YouTube</w:t>
            </w:r>
          </w:p>
        </w:tc>
        <w:tc>
          <w:tcPr>
            <w:tcW w:type="dxa" w:w="1504"/>
          </w:tcPr>
          <w:p>
            <w:r>
              <w:rPr>
                <w:rFonts w:ascii="Times New Roman" w:hAnsi="Times New Roman"/>
                <w:sz w:val="20"/>
              </w:rPr>
              <w:t>Comments</w:t>
            </w:r>
          </w:p>
        </w:tc>
        <w:tc>
          <w:tcPr>
            <w:tcW w:type="dxa" w:w="1504"/>
          </w:tcPr>
          <w:p>
            <w:r>
              <w:rPr>
                <w:rFonts w:ascii="Times New Roman" w:hAnsi="Times New Roman"/>
                <w:sz w:val="20"/>
              </w:rPr>
              <w:t>—</w:t>
            </w:r>
          </w:p>
        </w:tc>
        <w:tc>
          <w:tcPr>
            <w:tcW w:type="dxa" w:w="1504"/>
          </w:tcPr>
          <w:p>
            <w:r>
              <w:rPr>
                <w:rFonts w:ascii="Times New Roman" w:hAnsi="Times New Roman"/>
                <w:sz w:val="20"/>
              </w:rPr>
              <w:t>−.239</w:t>
            </w:r>
          </w:p>
        </w:tc>
        <w:tc>
          <w:tcPr>
            <w:tcW w:type="dxa" w:w="1504"/>
          </w:tcPr>
          <w:p>
            <w:r>
              <w:rPr>
                <w:rFonts w:ascii="Times New Roman" w:hAnsi="Times New Roman"/>
                <w:sz w:val="20"/>
              </w:rPr>
              <w:t>.127</w:t>
            </w:r>
          </w:p>
        </w:tc>
        <w:tc>
          <w:tcPr>
            <w:tcW w:type="dxa" w:w="1504"/>
          </w:tcPr>
          <w:p>
            <w:r>
              <w:rPr>
                <w:rFonts w:ascii="Times New Roman" w:hAnsi="Times New Roman"/>
                <w:sz w:val="20"/>
              </w:rPr>
            </w:r>
          </w:p>
        </w:tc>
      </w:tr>
      <w:tr>
        <w:tc>
          <w:tcPr>
            <w:tcW w:type="dxa" w:w="1504"/>
          </w:tcPr>
          <w:p>
            <w:r>
              <w:rPr>
                <w:rFonts w:ascii="Times New Roman" w:hAnsi="Times New Roman"/>
                <w:sz w:val="20"/>
              </w:rPr>
              <w:t>TikTok</w:t>
            </w:r>
          </w:p>
        </w:tc>
        <w:tc>
          <w:tcPr>
            <w:tcW w:type="dxa" w:w="1504"/>
          </w:tcPr>
          <w:p>
            <w:r>
              <w:rPr>
                <w:rFonts w:ascii="Times New Roman" w:hAnsi="Times New Roman"/>
                <w:sz w:val="20"/>
              </w:rPr>
              <w:t>Views</w:t>
            </w:r>
          </w:p>
        </w:tc>
        <w:tc>
          <w:tcPr>
            <w:tcW w:type="dxa" w:w="1504"/>
          </w:tcPr>
          <w:p>
            <w:r>
              <w:rPr>
                <w:rFonts w:ascii="Times New Roman" w:hAnsi="Times New Roman"/>
                <w:sz w:val="20"/>
              </w:rPr>
              <w:t>—</w:t>
            </w:r>
          </w:p>
        </w:tc>
        <w:tc>
          <w:tcPr>
            <w:tcW w:type="dxa" w:w="1504"/>
          </w:tcPr>
          <w:p>
            <w:r>
              <w:rPr>
                <w:rFonts w:ascii="Times New Roman" w:hAnsi="Times New Roman"/>
                <w:sz w:val="20"/>
              </w:rPr>
              <w:t>.522</w:t>
            </w:r>
          </w:p>
        </w:tc>
        <w:tc>
          <w:tcPr>
            <w:tcW w:type="dxa" w:w="1504"/>
          </w:tcPr>
          <w:p>
            <w:r>
              <w:rPr>
                <w:rFonts w:ascii="Times New Roman" w:hAnsi="Times New Roman"/>
                <w:sz w:val="20"/>
              </w:rPr>
              <w:t>.026</w:t>
            </w:r>
          </w:p>
        </w:tc>
        <w:tc>
          <w:tcPr>
            <w:tcW w:type="dxa" w:w="1504"/>
          </w:tcPr>
          <w:p>
            <w:r>
              <w:rPr>
                <w:rFonts w:ascii="Times New Roman" w:hAnsi="Times New Roman"/>
                <w:sz w:val="20"/>
              </w:rPr>
              <w:t>*</w:t>
            </w:r>
          </w:p>
        </w:tc>
      </w:tr>
      <w:tr>
        <w:tc>
          <w:tcPr>
            <w:tcW w:type="dxa" w:w="1504"/>
          </w:tcPr>
          <w:p>
            <w:r>
              <w:rPr>
                <w:rFonts w:ascii="Times New Roman" w:hAnsi="Times New Roman"/>
                <w:sz w:val="20"/>
              </w:rPr>
              <w:t>TikTok</w:t>
            </w:r>
          </w:p>
        </w:tc>
        <w:tc>
          <w:tcPr>
            <w:tcW w:type="dxa" w:w="1504"/>
          </w:tcPr>
          <w:p>
            <w:r>
              <w:rPr>
                <w:rFonts w:ascii="Times New Roman" w:hAnsi="Times New Roman"/>
                <w:sz w:val="20"/>
              </w:rPr>
              <w:t>Likes</w:t>
            </w:r>
          </w:p>
        </w:tc>
        <w:tc>
          <w:tcPr>
            <w:tcW w:type="dxa" w:w="1504"/>
          </w:tcPr>
          <w:p>
            <w:r>
              <w:rPr>
                <w:rFonts w:ascii="Times New Roman" w:hAnsi="Times New Roman"/>
                <w:sz w:val="20"/>
              </w:rPr>
              <w:t>—</w:t>
            </w:r>
          </w:p>
        </w:tc>
        <w:tc>
          <w:tcPr>
            <w:tcW w:type="dxa" w:w="1504"/>
          </w:tcPr>
          <w:p>
            <w:r>
              <w:rPr>
                <w:rFonts w:ascii="Times New Roman" w:hAnsi="Times New Roman"/>
                <w:sz w:val="20"/>
              </w:rPr>
              <w:t>.475</w:t>
            </w:r>
          </w:p>
        </w:tc>
        <w:tc>
          <w:tcPr>
            <w:tcW w:type="dxa" w:w="1504"/>
          </w:tcPr>
          <w:p>
            <w:r>
              <w:rPr>
                <w:rFonts w:ascii="Times New Roman" w:hAnsi="Times New Roman"/>
                <w:sz w:val="20"/>
              </w:rPr>
              <w:t>.003</w:t>
            </w:r>
          </w:p>
        </w:tc>
        <w:tc>
          <w:tcPr>
            <w:tcW w:type="dxa" w:w="1504"/>
          </w:tcPr>
          <w:p>
            <w:r>
              <w:rPr>
                <w:rFonts w:ascii="Times New Roman" w:hAnsi="Times New Roman"/>
                <w:sz w:val="20"/>
              </w:rPr>
              <w:t>**</w:t>
            </w:r>
          </w:p>
        </w:tc>
      </w:tr>
      <w:tr>
        <w:tc>
          <w:tcPr>
            <w:tcW w:type="dxa" w:w="1504"/>
          </w:tcPr>
          <w:p>
            <w:r>
              <w:rPr>
                <w:rFonts w:ascii="Times New Roman" w:hAnsi="Times New Roman"/>
                <w:sz w:val="20"/>
              </w:rPr>
              <w:t>TikTok</w:t>
            </w:r>
          </w:p>
        </w:tc>
        <w:tc>
          <w:tcPr>
            <w:tcW w:type="dxa" w:w="1504"/>
          </w:tcPr>
          <w:p>
            <w:r>
              <w:rPr>
                <w:rFonts w:ascii="Times New Roman" w:hAnsi="Times New Roman"/>
                <w:sz w:val="20"/>
              </w:rPr>
              <w:t>Comments</w:t>
            </w:r>
          </w:p>
        </w:tc>
        <w:tc>
          <w:tcPr>
            <w:tcW w:type="dxa" w:w="1504"/>
          </w:tcPr>
          <w:p>
            <w:r>
              <w:rPr>
                <w:rFonts w:ascii="Times New Roman" w:hAnsi="Times New Roman"/>
                <w:sz w:val="20"/>
              </w:rPr>
              <w:t>—</w:t>
            </w:r>
          </w:p>
        </w:tc>
        <w:tc>
          <w:tcPr>
            <w:tcW w:type="dxa" w:w="1504"/>
          </w:tcPr>
          <w:p>
            <w:r>
              <w:rPr>
                <w:rFonts w:ascii="Times New Roman" w:hAnsi="Times New Roman"/>
                <w:sz w:val="20"/>
              </w:rPr>
              <w:t>.262</w:t>
            </w:r>
          </w:p>
        </w:tc>
        <w:tc>
          <w:tcPr>
            <w:tcW w:type="dxa" w:w="1504"/>
          </w:tcPr>
          <w:p>
            <w:r>
              <w:rPr>
                <w:rFonts w:ascii="Times New Roman" w:hAnsi="Times New Roman"/>
                <w:sz w:val="20"/>
              </w:rPr>
              <w:t>.094</w:t>
            </w:r>
          </w:p>
        </w:tc>
        <w:tc>
          <w:tcPr>
            <w:tcW w:type="dxa" w:w="1504"/>
          </w:tcPr>
          <w:p>
            <w:r>
              <w:rPr>
                <w:rFonts w:ascii="Times New Roman" w:hAnsi="Times New Roman"/>
                <w:sz w:val="20"/>
              </w:rPr>
            </w:r>
          </w:p>
        </w:tc>
      </w:tr>
      <w:tr>
        <w:tc>
          <w:tcPr>
            <w:tcW w:type="dxa" w:w="1504"/>
          </w:tcPr>
          <w:p>
            <w:r>
              <w:rPr>
                <w:rFonts w:ascii="Times New Roman" w:hAnsi="Times New Roman"/>
                <w:sz w:val="20"/>
              </w:rPr>
              <w:t>Instagram</w:t>
            </w:r>
          </w:p>
        </w:tc>
        <w:tc>
          <w:tcPr>
            <w:tcW w:type="dxa" w:w="1504"/>
          </w:tcPr>
          <w:p>
            <w:r>
              <w:rPr>
                <w:rFonts w:ascii="Times New Roman" w:hAnsi="Times New Roman"/>
                <w:sz w:val="20"/>
              </w:rPr>
              <w:t>Likes</w:t>
            </w:r>
          </w:p>
        </w:tc>
        <w:tc>
          <w:tcPr>
            <w:tcW w:type="dxa" w:w="1504"/>
          </w:tcPr>
          <w:p>
            <w:r>
              <w:rPr>
                <w:rFonts w:ascii="Times New Roman" w:hAnsi="Times New Roman"/>
                <w:sz w:val="20"/>
              </w:rPr>
              <w:t>—</w:t>
            </w:r>
          </w:p>
        </w:tc>
        <w:tc>
          <w:tcPr>
            <w:tcW w:type="dxa" w:w="1504"/>
          </w:tcPr>
          <w:p>
            <w:r>
              <w:rPr>
                <w:rFonts w:ascii="Times New Roman" w:hAnsi="Times New Roman"/>
                <w:sz w:val="20"/>
              </w:rPr>
              <w:t>−.038</w:t>
            </w:r>
          </w:p>
        </w:tc>
        <w:tc>
          <w:tcPr>
            <w:tcW w:type="dxa" w:w="1504"/>
          </w:tcPr>
          <w:p>
            <w:r>
              <w:rPr>
                <w:rFonts w:ascii="Times New Roman" w:hAnsi="Times New Roman"/>
                <w:sz w:val="20"/>
              </w:rPr>
              <w:t>.817</w:t>
            </w:r>
          </w:p>
        </w:tc>
        <w:tc>
          <w:tcPr>
            <w:tcW w:type="dxa" w:w="1504"/>
          </w:tcPr>
          <w:p>
            <w:r>
              <w:rPr>
                <w:rFonts w:ascii="Times New Roman" w:hAnsi="Times New Roman"/>
                <w:sz w:val="20"/>
              </w:rPr>
            </w:r>
          </w:p>
        </w:tc>
      </w:tr>
      <w:tr>
        <w:tc>
          <w:tcPr>
            <w:tcW w:type="dxa" w:w="1504"/>
          </w:tcPr>
          <w:p>
            <w:r>
              <w:rPr>
                <w:rFonts w:ascii="Times New Roman" w:hAnsi="Times New Roman"/>
                <w:sz w:val="20"/>
              </w:rPr>
              <w:t>Instagram</w:t>
            </w:r>
          </w:p>
        </w:tc>
        <w:tc>
          <w:tcPr>
            <w:tcW w:type="dxa" w:w="1504"/>
          </w:tcPr>
          <w:p>
            <w:r>
              <w:rPr>
                <w:rFonts w:ascii="Times New Roman" w:hAnsi="Times New Roman"/>
                <w:sz w:val="20"/>
              </w:rPr>
              <w:t>Comments</w:t>
            </w:r>
          </w:p>
        </w:tc>
        <w:tc>
          <w:tcPr>
            <w:tcW w:type="dxa" w:w="1504"/>
          </w:tcPr>
          <w:p>
            <w:r>
              <w:rPr>
                <w:rFonts w:ascii="Times New Roman" w:hAnsi="Times New Roman"/>
                <w:sz w:val="20"/>
              </w:rPr>
              <w:t>—</w:t>
            </w:r>
          </w:p>
        </w:tc>
        <w:tc>
          <w:tcPr>
            <w:tcW w:type="dxa" w:w="1504"/>
          </w:tcPr>
          <w:p>
            <w:r>
              <w:rPr>
                <w:rFonts w:ascii="Times New Roman" w:hAnsi="Times New Roman"/>
                <w:sz w:val="20"/>
              </w:rPr>
              <w:t>.065</w:t>
            </w:r>
          </w:p>
        </w:tc>
        <w:tc>
          <w:tcPr>
            <w:tcW w:type="dxa" w:w="1504"/>
          </w:tcPr>
          <w:p>
            <w:r>
              <w:rPr>
                <w:rFonts w:ascii="Times New Roman" w:hAnsi="Times New Roman"/>
                <w:sz w:val="20"/>
              </w:rPr>
              <w:t>.747</w:t>
            </w:r>
          </w:p>
        </w:tc>
        <w:tc>
          <w:tcPr>
            <w:tcW w:type="dxa" w:w="1504"/>
          </w:tcPr>
          <w:p>
            <w:r>
              <w:rPr>
                <w:rFonts w:ascii="Times New Roman" w:hAnsi="Times New Roman"/>
                <w:sz w:val="20"/>
              </w:rPr>
            </w:r>
          </w:p>
        </w:tc>
      </w:tr>
    </w:tbl>
    <w:p>
      <w:pPr>
        <w:spacing w:line="360" w:lineRule="auto"/>
        <w:jc w:val="both"/>
      </w:pPr>
      <w:r>
        <w:rPr>
          <w:rFonts w:ascii="Times New Roman" w:hAnsi="Times New Roman"/>
          <w:b w:val="0"/>
          <w:i/>
          <w:sz w:val="24"/>
        </w:rPr>
        <w:t>Note. * p &lt; .05, ** p &lt; .01, *** p &lt; .001.</w:t>
      </w:r>
    </w:p>
    <w:p>
      <w:pPr>
        <w:pStyle w:val="Heading1"/>
      </w:pPr>
      <w:r>
        <w:rPr>
          <w:rFonts w:ascii="Times New Roman" w:hAnsi="Times New Roman"/>
          <w:color w:val="000000"/>
        </w:rPr>
        <w:t>APPENDIX D: STATISTICAL ANALYSIS CODE</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val="0"/>
          <w:sz w:val="24"/>
        </w:rPr>
        <w:t>The complete statistical analysis was conducted using Python 3.13 with the following packages: pandas, scipy, pingouin, scikit-posthocs, matplotlib, and seaborn. The full analysis script (run_analysis.py) is available in the project repository. Key analysis functions are summarised below.</w:t>
      </w:r>
    </w:p>
    <w:p>
      <w:pPr>
        <w:spacing w:line="360" w:lineRule="auto"/>
        <w:jc w:val="both"/>
      </w:pPr>
      <w:r>
        <w:rPr>
          <w:rFonts w:ascii="Times New Roman" w:hAnsi="Times New Roman"/>
          <w:b w:val="0"/>
          <w:i w:val="0"/>
          <w:sz w:val="24"/>
        </w:rPr>
      </w:r>
    </w:p>
    <w:p>
      <w:pPr>
        <w:pStyle w:val="Heading2"/>
      </w:pPr>
      <w:r>
        <w:rPr>
          <w:rFonts w:ascii="Times New Roman" w:hAnsi="Times New Roman"/>
          <w:color w:val="000000"/>
        </w:rPr>
        <w:t>D.1 Software Environment</w:t>
      </w:r>
    </w:p>
    <w:p>
      <w:pPr>
        <w:pStyle w:val="ListBullet"/>
      </w:pPr>
      <w:r>
        <w:rPr>
          <w:rFonts w:ascii="Times New Roman" w:hAnsi="Times New Roman"/>
          <w:sz w:val="24"/>
        </w:rPr>
        <w:t>Python 3.13</w:t>
      </w:r>
    </w:p>
    <w:p>
      <w:pPr>
        <w:pStyle w:val="ListBullet"/>
      </w:pPr>
      <w:r>
        <w:rPr>
          <w:rFonts w:ascii="Times New Roman" w:hAnsi="Times New Roman"/>
          <w:sz w:val="24"/>
        </w:rPr>
        <w:t>pandas 2.2.x — data manipulation</w:t>
      </w:r>
    </w:p>
    <w:p>
      <w:pPr>
        <w:pStyle w:val="ListBullet"/>
      </w:pPr>
      <w:r>
        <w:rPr>
          <w:rFonts w:ascii="Times New Roman" w:hAnsi="Times New Roman"/>
          <w:sz w:val="24"/>
        </w:rPr>
        <w:t>scipy 1.14.x — Kruskal-Wallis H, Mann-Whitney U, Chi-square, Spearman correlation</w:t>
      </w:r>
    </w:p>
    <w:p>
      <w:pPr>
        <w:pStyle w:val="ListBullet"/>
      </w:pPr>
      <w:r>
        <w:rPr>
          <w:rFonts w:ascii="Times New Roman" w:hAnsi="Times New Roman"/>
          <w:sz w:val="24"/>
        </w:rPr>
        <w:t>pingouin 0.5.x — Intraclass Correlation Coefficient (ICC)</w:t>
      </w:r>
    </w:p>
    <w:p>
      <w:pPr>
        <w:pStyle w:val="ListBullet"/>
      </w:pPr>
      <w:r>
        <w:rPr>
          <w:rFonts w:ascii="Times New Roman" w:hAnsi="Times New Roman"/>
          <w:sz w:val="24"/>
        </w:rPr>
        <w:t>scikit-posthocs 0.9.x — Dunn’s post-hoc test with Bonferroni correction</w:t>
      </w:r>
    </w:p>
    <w:p>
      <w:pPr>
        <w:pStyle w:val="ListBullet"/>
      </w:pPr>
      <w:r>
        <w:rPr>
          <w:rFonts w:ascii="Times New Roman" w:hAnsi="Times New Roman"/>
          <w:sz w:val="24"/>
        </w:rPr>
        <w:t>matplotlib 3.9.x + seaborn 0.13.x — figure generation</w:t>
      </w:r>
    </w:p>
    <w:p>
      <w:pPr>
        <w:spacing w:line="360" w:lineRule="auto"/>
        <w:jc w:val="both"/>
      </w:pPr>
      <w:r>
        <w:rPr>
          <w:rFonts w:ascii="Times New Roman" w:hAnsi="Times New Roman"/>
          <w:b w:val="0"/>
          <w:i w:val="0"/>
          <w:sz w:val="24"/>
        </w:rPr>
      </w:r>
    </w:p>
    <w:p>
      <w:pPr>
        <w:pStyle w:val="Heading2"/>
      </w:pPr>
      <w:r>
        <w:rPr>
          <w:rFonts w:ascii="Times New Roman" w:hAnsi="Times New Roman"/>
          <w:color w:val="000000"/>
        </w:rPr>
        <w:t>D.2 Key Statistical Tests</w:t>
      </w:r>
    </w:p>
    <w:p>
      <w:pPr>
        <w:spacing w:line="360" w:lineRule="auto"/>
      </w:pPr>
      <w:r>
        <w:rPr>
          <w:rFonts w:ascii="Times New Roman" w:hAnsi="Times New Roman"/>
          <w:b/>
          <w:sz w:val="24"/>
        </w:rPr>
        <w:t xml:space="preserve">Inter-rater reliability. </w:t>
      </w:r>
      <w:r>
        <w:rPr>
          <w:rFonts w:ascii="Times New Roman" w:hAnsi="Times New Roman"/>
          <w:sz w:val="24"/>
        </w:rPr>
        <w:t>ICC(3,1) computed via pingouin.intraclass_corr() for DISCERN total scores. Cohen’s kappa calculated manually for binary JAMA criteria using observed vs. expected agreement.</w:t>
      </w:r>
    </w:p>
    <w:p>
      <w:pPr>
        <w:spacing w:line="360" w:lineRule="auto"/>
      </w:pPr>
      <w:r>
        <w:rPr>
          <w:rFonts w:ascii="Times New Roman" w:hAnsi="Times New Roman"/>
          <w:b/>
          <w:sz w:val="24"/>
        </w:rPr>
        <w:t xml:space="preserve">Platform comparisons (DISCERN). </w:t>
      </w:r>
      <w:r>
        <w:rPr>
          <w:rFonts w:ascii="Times New Roman" w:hAnsi="Times New Roman"/>
          <w:sz w:val="24"/>
        </w:rPr>
        <w:t>Kruskal-Wallis H test (scipy.stats.kruskal) followed by Dunn’s post-hoc test (scikit_posthocs.posthoc_dunn) with Bonferroni correction. Effect size: eta-squared = H / (N-1).</w:t>
      </w:r>
    </w:p>
    <w:p>
      <w:pPr>
        <w:spacing w:line="360" w:lineRule="auto"/>
      </w:pPr>
      <w:r>
        <w:rPr>
          <w:rFonts w:ascii="Times New Roman" w:hAnsi="Times New Roman"/>
          <w:b/>
          <w:sz w:val="24"/>
        </w:rPr>
        <w:t xml:space="preserve">Platform comparisons (JAMA). </w:t>
      </w:r>
      <w:r>
        <w:rPr>
          <w:rFonts w:ascii="Times New Roman" w:hAnsi="Times New Roman"/>
          <w:sz w:val="24"/>
        </w:rPr>
        <w:t>Chi-square test of independence (scipy.stats.chi2_contingency) for each JAMA criterion. Fisher’s exact test used when expected cell counts &lt; 5.</w:t>
      </w:r>
    </w:p>
    <w:p>
      <w:pPr>
        <w:spacing w:line="360" w:lineRule="auto"/>
      </w:pPr>
      <w:r>
        <w:rPr>
          <w:rFonts w:ascii="Times New Roman" w:hAnsi="Times New Roman"/>
          <w:b/>
          <w:sz w:val="24"/>
        </w:rPr>
        <w:t xml:space="preserve">Creator type analysis. </w:t>
      </w:r>
      <w:r>
        <w:rPr>
          <w:rFonts w:ascii="Times New Roman" w:hAnsi="Times New Roman"/>
          <w:sz w:val="24"/>
        </w:rPr>
        <w:t>Mann-Whitney U test (scipy.stats.mannwhitneyu) comparing professional vs. non-professional creators. Effect size: r = Z / sqrt(N).</w:t>
      </w:r>
    </w:p>
    <w:p>
      <w:pPr>
        <w:spacing w:line="360" w:lineRule="auto"/>
      </w:pPr>
      <w:r>
        <w:rPr>
          <w:rFonts w:ascii="Times New Roman" w:hAnsi="Times New Roman"/>
          <w:b/>
          <w:sz w:val="24"/>
        </w:rPr>
        <w:t xml:space="preserve">Engagement-quality correlations. </w:t>
      </w:r>
      <w:r>
        <w:rPr>
          <w:rFonts w:ascii="Times New Roman" w:hAnsi="Times New Roman"/>
          <w:sz w:val="24"/>
        </w:rPr>
        <w:t>Spearman’s rank correlation (scipy.stats.spearmanr) between engagement metrics and DISCERN total, both overall and stratified by platform.</w:t>
      </w:r>
    </w:p>
    <w:p>
      <w:pPr>
        <w:spacing w:line="360" w:lineRule="auto"/>
        <w:jc w:val="both"/>
      </w:pPr>
      <w:r>
        <w:rPr>
          <w:rFonts w:ascii="Times New Roman" w:hAnsi="Times New Roman"/>
          <w:b w:val="0"/>
          <w:i w:val="0"/>
          <w:sz w:val="24"/>
        </w:rPr>
      </w:r>
    </w:p>
    <w:p>
      <w:pPr>
        <w:pStyle w:val="Heading2"/>
      </w:pPr>
      <w:r>
        <w:rPr>
          <w:rFonts w:ascii="Times New Roman" w:hAnsi="Times New Roman"/>
          <w:color w:val="000000"/>
        </w:rPr>
        <w:t>D.3 Reproducibility</w:t>
      </w:r>
    </w:p>
    <w:p>
      <w:pPr>
        <w:spacing w:line="360" w:lineRule="auto"/>
        <w:jc w:val="both"/>
      </w:pPr>
      <w:r>
        <w:rPr>
          <w:rFonts w:ascii="Times New Roman" w:hAnsi="Times New Roman"/>
          <w:b w:val="0"/>
          <w:i w:val="0"/>
          <w:sz w:val="24"/>
        </w:rPr>
        <w:t>All data, scripts, and analysis outputs are maintained in a version-controlled Git repository. The complete analysis can be reproduced by running: python analysis/run_analysis.py from the project root directory. Input data are located in data/csv/master_dataset.csv and data/csv/second_rater_scores.csv. Output files (figures, tables, and the analysis report) are written to analysis/output/.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