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CHAPTER 1. LITERATURE REVIEW</w:t>
      </w:r>
    </w:p>
    <w:p/>
    <w:p>
      <w:pPr>
        <w:pStyle w:val="Heading2"/>
      </w:pPr>
      <w:r>
        <w:rPr>
          <w:rFonts w:ascii="Times New Roman" w:hAnsi="Times New Roman"/>
          <w:color w:val="000000"/>
        </w:rPr>
        <w:t>1.1 Digital Transformation of Health Information Seeking</w:t>
      </w:r>
    </w:p>
    <w:p/>
    <w:p>
      <w:pPr>
        <w:spacing w:line="360" w:lineRule="auto"/>
        <w:jc w:val="both"/>
      </w:pPr>
      <w:r>
        <w:rPr>
          <w:rFonts w:ascii="Times New Roman" w:hAnsi="Times New Roman"/>
          <w:sz w:val="24"/>
        </w:rP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physical activity (PA) promotion, as individuals increasingly turn to online platforms to learn how, when, and why to exercise.</w:t>
      </w:r>
    </w:p>
    <w:p/>
    <w:p>
      <w:pPr>
        <w:spacing w:line="360" w:lineRule="auto"/>
        <w:jc w:val="both"/>
      </w:pPr>
      <w:r>
        <w:rPr>
          <w:rFonts w:ascii="Times New Roman" w:hAnsi="Times New Roman"/>
          <w:sz w:val="24"/>
        </w:rP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p>
      <w:pPr>
        <w:spacing w:line="360" w:lineRule="auto"/>
        <w:jc w:val="both"/>
      </w:pPr>
      <w:r>
        <w:rPr>
          <w:rFonts w:ascii="Times New Roman" w:hAnsi="Times New Roman"/>
          <w:sz w:val="24"/>
        </w:rP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By 2021, 72% of U.S. adults reported using social media (Pew Research Center, 2021), and health-related engagement on these platforms grew in tandem. By 2022, 58.9% of American adults reported watching health-related videos on YouTube, up from 39.7% only two years earlier (Mohamed &amp; Shoufan, 2024). This shift from curated, editorially controlled websites to user-generated content ecosystems has introduced new challenges for information quality assurance.</w:t>
      </w:r>
    </w:p>
    <w:p/>
    <w:p>
      <w:pPr>
        <w:spacing w:line="360" w:lineRule="auto"/>
        <w:jc w:val="both"/>
      </w:pPr>
      <w:r>
        <w:rPr>
          <w:rFonts w:ascii="Times New Roman" w:hAnsi="Times New Roman"/>
          <w:sz w:val="24"/>
        </w:rP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p>
      <w:pPr>
        <w:spacing w:line="360" w:lineRule="auto"/>
        <w:jc w:val="both"/>
      </w:pPr>
      <w:r>
        <w:rPr>
          <w:rFonts w:ascii="Times New Roman" w:hAnsi="Times New Roman"/>
          <w:sz w:val="24"/>
        </w:rP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p>
      <w:pPr>
        <w:pStyle w:val="Heading2"/>
      </w:pPr>
      <w:r>
        <w:rPr>
          <w:rFonts w:ascii="Times New Roman" w:hAnsi="Times New Roman"/>
          <w:color w:val="000000"/>
        </w:rPr>
        <w:t>1.2 Theoretical Frameworks</w:t>
      </w:r>
    </w:p>
    <w:p/>
    <w:p>
      <w:pPr>
        <w:spacing w:line="360" w:lineRule="auto"/>
        <w:jc w:val="both"/>
      </w:pPr>
      <w:r>
        <w:rPr>
          <w:rFonts w:ascii="Times New Roman" w:hAnsi="Times New Roman"/>
          <w:sz w:val="24"/>
        </w:rPr>
        <w:t>Several theoretical frameworks underpin the study of health information quality in digital environments. Together, they provide a multidimensional lens through which the quality of physical activity information across platforms can be understood and assessed.</w:t>
      </w:r>
    </w:p>
    <w:p/>
    <w:p>
      <w:pPr>
        <w:spacing w:line="360" w:lineRule="auto"/>
        <w:jc w:val="both"/>
      </w:pPr>
      <w:r>
        <w:rPr>
          <w:rFonts w:ascii="Times New Roman" w:hAnsi="Times New Roman"/>
          <w:sz w:val="24"/>
        </w:rP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p>
      <w:pPr>
        <w:spacing w:line="360" w:lineRule="auto"/>
        <w:jc w:val="both"/>
      </w:pPr>
      <w:r>
        <w:rPr>
          <w:rFonts w:ascii="Times New Roman" w:hAnsi="Times New Roman"/>
          <w:sz w:val="24"/>
        </w:rP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p>
      <w:pPr>
        <w:spacing w:line="360" w:lineRule="auto"/>
        <w:jc w:val="both"/>
      </w:pPr>
      <w:r>
        <w:rPr>
          <w:rFonts w:ascii="Times New Roman" w:hAnsi="Times New Roman"/>
          <w:sz w:val="24"/>
        </w:rPr>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p>
      <w:pPr>
        <w:spacing w:line="360" w:lineRule="auto"/>
        <w:jc w:val="both"/>
      </w:pPr>
      <w:r>
        <w:rPr>
          <w:rFonts w:ascii="Times New Roman" w:hAnsi="Times New Roman"/>
          <w:sz w:val="24"/>
        </w:rP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physically active lifestyles. Thus, poor-quality PA information on digital platforms may not merely misinform but may actively undermine the motivational pathways that the HBM describes.</w:t>
      </w:r>
    </w:p>
    <w:p/>
    <w:p>
      <w:pPr>
        <w:spacing w:line="360" w:lineRule="auto"/>
        <w:jc w:val="both"/>
      </w:pPr>
      <w:r>
        <w:rPr>
          <w:rFonts w:ascii="Times New Roman" w:hAnsi="Times New Roman"/>
          <w:sz w:val="24"/>
        </w:rPr>
        <w:t>These theoretical perspectives directly inform the study variables used in the present thesis. The Information Quality framework justifies measuring both reliability/completeness (DISCERN) and transparency/accountability (JAMA). eHealth literacy theory explains why users may rely on heuristic cues such as views and likes when appraising online content, providing the rationale for analysing engagement-quality associations. The Health Belief Model clarifies why the quality of PA advice matters for real-world behaviour, especially where uncertainty, risks, and benefits of exercise recommendations are concerned.</w:t>
      </w:r>
    </w:p>
    <w:p/>
    <w:p>
      <w:pPr>
        <w:pStyle w:val="Heading2"/>
      </w:pPr>
      <w:r>
        <w:rPr>
          <w:rFonts w:ascii="Times New Roman" w:hAnsi="Times New Roman"/>
          <w:color w:val="000000"/>
        </w:rPr>
        <w:t>1.3 Traditional Websites as Sources of Health and Physical Activity Information</w:t>
      </w:r>
    </w:p>
    <w:p/>
    <w:p>
      <w:pPr>
        <w:spacing w:line="360" w:lineRule="auto"/>
        <w:jc w:val="both"/>
      </w:pPr>
      <w:r>
        <w:rPr>
          <w:rFonts w:ascii="Times New Roman" w:hAnsi="Times New Roman"/>
          <w:sz w:val="24"/>
        </w:rP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health publishers.</w:t>
      </w:r>
    </w:p>
    <w:p/>
    <w:p>
      <w:pPr>
        <w:spacing w:line="360" w:lineRule="auto"/>
        <w:jc w:val="both"/>
      </w:pPr>
      <w:r>
        <w:rPr>
          <w:rFonts w:ascii="Times New Roman" w:hAnsi="Times New Roman"/>
          <w:sz w:val="24"/>
        </w:rP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certification was voluntary and not universally adopted, meaning that consumers had no reliable mechanism for identifying trustworthy websites without actively checking certification status.</w:t>
      </w:r>
    </w:p>
    <w:p/>
    <w:p>
      <w:pPr>
        <w:spacing w:line="360" w:lineRule="auto"/>
        <w:jc w:val="both"/>
      </w:pPr>
      <w:r>
        <w:rPr>
          <w:rFonts w:ascii="Times New Roman" w:hAnsi="Times New Roman"/>
          <w:sz w:val="24"/>
        </w:rP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media-related sources received the lowest scores at 44% (poor). These findings underscore that while traditional websites are generally higher in quality than user-generated social media content, there remains substantial variability in quality even within this category.</w:t>
      </w:r>
    </w:p>
    <w:p/>
    <w:p>
      <w:pPr>
        <w:spacing w:line="360" w:lineRule="auto"/>
        <w:jc w:val="both"/>
      </w:pPr>
      <w:r>
        <w:rPr>
          <w:rFonts w:ascii="Times New Roman" w:hAnsi="Times New Roman"/>
          <w:sz w:val="24"/>
        </w:rPr>
        <w:t>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present PA information that is incomplete, sensationalised, or influenced by commercial interests, potentially leading consumers toward ineffective or unsafe exercise practices.</w:t>
      </w:r>
    </w:p>
    <w:p/>
    <w:p>
      <w:pPr>
        <w:pStyle w:val="Heading2"/>
      </w:pPr>
      <w:r>
        <w:rPr>
          <w:rFonts w:ascii="Times New Roman" w:hAnsi="Times New Roman"/>
          <w:color w:val="000000"/>
        </w:rPr>
        <w:t>1.4 Social Media Platforms as Sources of Health Information</w:t>
      </w:r>
    </w:p>
    <w:p/>
    <w:p>
      <w:pPr>
        <w:spacing w:line="360" w:lineRule="auto"/>
        <w:jc w:val="both"/>
      </w:pPr>
      <w:r>
        <w:rPr>
          <w:rFonts w:ascii="Times New Roman" w:hAnsi="Times New Roman"/>
          <w:sz w:val="24"/>
        </w:rP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reliability require continuous monitoring.</w:t>
      </w:r>
    </w:p>
    <w:p/>
    <w:p>
      <w:pPr>
        <w:spacing w:line="360" w:lineRule="auto"/>
        <w:jc w:val="both"/>
      </w:pPr>
      <w:r>
        <w:rPr>
          <w:rFonts w:ascii="Times New Roman" w:hAnsi="Times New Roman"/>
          <w:sz w:val="24"/>
        </w:rP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study evaluating YouTube videos recommending exercises during the COVID-19 lockdown found mean DISCERN scores of only 2.29 out of 5 and mean Global Quality Scale (GQS) scores of 2.32, indicating low overall quality (Czenczek-Lewandowska et al., 2022).</w:t>
      </w:r>
    </w:p>
    <w:p/>
    <w:p>
      <w:pPr>
        <w:spacing w:line="360" w:lineRule="auto"/>
        <w:jc w:val="both"/>
      </w:pPr>
      <w:r>
        <w:rPr>
          <w:rFonts w:ascii="Times New Roman" w:hAnsi="Times New Roman"/>
          <w:sz w:val="24"/>
        </w:rP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existing quality assessment tools were not designed for short-form video content, raising questions about the validity of applying text-based instruments to multimedia formats. The same review further indicates that medically credentialed creators account for only a minority of health-related TikTok content, with much of the material produced by general users, influencers, and commercial accounts (Li et al., 2024).</w:t>
      </w:r>
    </w:p>
    <w:p/>
    <w:p>
      <w:pPr>
        <w:spacing w:line="360" w:lineRule="auto"/>
        <w:jc w:val="both"/>
      </w:pPr>
      <w:r>
        <w:rPr>
          <w:rFonts w:ascii="Times New Roman" w:hAnsi="Times New Roman"/>
          <w:sz w:val="24"/>
        </w:rP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their reach through brand partnerships, creates financial incentives that may conflict with evidence-based health communication. As Pilgrim and Bohnet-Joschko (2019) observed, influencers can earn more revenue by creating content that maximises engagement, and misinformation has been linked to higher levels of user engagement.</w:t>
      </w:r>
    </w:p>
    <w:p/>
    <w:p>
      <w:pPr>
        <w:spacing w:line="360" w:lineRule="auto"/>
        <w:jc w:val="both"/>
      </w:pPr>
      <w:r>
        <w:rPr>
          <w:rFonts w:ascii="Times New Roman" w:hAnsi="Times New Roman"/>
          <w:sz w:val="24"/>
        </w:rPr>
        <w:t>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on social media platforms suggest that PA information is similarly vulnerable to quality deficits.</w:t>
      </w:r>
    </w:p>
    <w:p/>
    <w:p>
      <w:pPr>
        <w:pStyle w:val="Heading2"/>
      </w:pPr>
      <w:r>
        <w:rPr>
          <w:rFonts w:ascii="Times New Roman" w:hAnsi="Times New Roman"/>
          <w:color w:val="000000"/>
        </w:rPr>
        <w:t>1.5 Quality Assessment Tools and Cross-Platform Applicability</w:t>
      </w:r>
    </w:p>
    <w:p/>
    <w:p>
      <w:pPr>
        <w:spacing w:line="360" w:lineRule="auto"/>
        <w:jc w:val="both"/>
      </w:pPr>
      <w:r>
        <w:rPr>
          <w:rFonts w:ascii="Times New Roman" w:hAnsi="Times New Roman"/>
          <w:sz w:val="24"/>
        </w:rPr>
        <w:t>Two instruments occupy a central position in the assessment of consumer health information quality: the DISCERN instrument and the JAMA Benchmarks.</w:t>
      </w:r>
    </w:p>
    <w:p/>
    <w:p>
      <w:pPr>
        <w:spacing w:line="360" w:lineRule="auto"/>
        <w:jc w:val="both"/>
      </w:pPr>
      <w:r>
        <w:rPr>
          <w:rFonts w:ascii="Times New Roman" w:hAnsi="Times New Roman"/>
          <w:sz w:val="24"/>
        </w:rP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 2024).</w:t>
      </w:r>
    </w:p>
    <w:p/>
    <w:p>
      <w:pPr>
        <w:spacing w:line="360" w:lineRule="auto"/>
        <w:jc w:val="both"/>
      </w:pPr>
      <w:r>
        <w:rPr>
          <w:rFonts w:ascii="Times New Roman" w:hAnsi="Times New Roman"/>
          <w:sz w:val="24"/>
        </w:rP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 4. Their streamlined nature makes them efficient for rapid quality screening, and they complement the more detailed DISCERN assessment by capturing essential transparency indicators.</w:t>
      </w:r>
    </w:p>
    <w:p/>
    <w:p>
      <w:pPr>
        <w:spacing w:line="360" w:lineRule="auto"/>
        <w:jc w:val="both"/>
      </w:pPr>
      <w:r>
        <w:rPr>
          <w:rFonts w:ascii="Times New Roman" w:hAnsi="Times New Roman"/>
          <w:sz w:val="24"/>
        </w:rP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p>
      <w:pPr>
        <w:spacing w:line="360" w:lineRule="auto"/>
        <w:jc w:val="both"/>
      </w:pPr>
      <w:r>
        <w:rPr>
          <w:rFonts w:ascii="Times New Roman" w:hAnsi="Times New Roman"/>
          <w:sz w:val="24"/>
        </w:rP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p>
      <w:pPr>
        <w:pStyle w:val="Heading2"/>
      </w:pPr>
      <w:r>
        <w:rPr>
          <w:rFonts w:ascii="Times New Roman" w:hAnsi="Times New Roman"/>
          <w:color w:val="000000"/>
        </w:rPr>
        <w:t>1.6 Evidence for the Quality Gap and Moderating Factors</w:t>
      </w:r>
    </w:p>
    <w:p/>
    <w:p>
      <w:pPr>
        <w:spacing w:line="360" w:lineRule="auto"/>
        <w:jc w:val="both"/>
      </w:pPr>
      <w:r>
        <w:rPr>
          <w:rFonts w:ascii="Times New Roman" w:hAnsi="Times New Roman"/>
          <w:sz w:val="24"/>
        </w:rP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score of 43.58 (95% CI: 37.80-49.35) for cancer-related information on new media, with approximately 27% of posts containing misinformation (Liu et al., 2025). The analysis further found that studies focusing on video-based media were statistically less likely to yield higher quality conclusions compared with those on text-based media, suggesting a format-dependent quality gradient.</w:t>
      </w:r>
    </w:p>
    <w:p/>
    <w:p>
      <w:pPr>
        <w:spacing w:line="360" w:lineRule="auto"/>
        <w:jc w:val="both"/>
      </w:pPr>
      <w:r>
        <w:rPr>
          <w:rFonts w:ascii="Times New Roman" w:hAnsi="Times New Roman"/>
          <w:sz w:val="24"/>
        </w:rP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TikTok, research has consistently demonstrated low overall quality of health content, with the platform's short-form format constraining the depth and nuance of health information that can be conveyed (Li et al., 2024).</w:t>
      </w:r>
    </w:p>
    <w:p/>
    <w:p>
      <w:pPr>
        <w:spacing w:line="360" w:lineRule="auto"/>
        <w:jc w:val="both"/>
      </w:pPr>
      <w:r>
        <w:rPr>
          <w:rFonts w:ascii="Times New Roman" w:hAnsi="Times New Roman"/>
          <w:sz w:val="24"/>
        </w:rP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medically credentialed creators appear to represent only a minority of health information producers, with the remainder largely comprising general users, influencers, and commercial accounts (Li et al., 2024).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p>
      <w:pPr>
        <w:spacing w:line="360" w:lineRule="auto"/>
        <w:jc w:val="both"/>
      </w:pPr>
      <w:r>
        <w:rPr>
          <w:rFonts w:ascii="Times New Roman" w:hAnsi="Times New Roman"/>
          <w:sz w:val="24"/>
        </w:rP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higher engagement than evidence-based but less emotionally stimulating content (Pilgrim &amp; Bohnet-Joschko, 2019).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 by the World Health Organization (2020).</w:t>
      </w:r>
    </w:p>
    <w:p/>
    <w:p>
      <w:pPr>
        <w:pStyle w:val="Heading2"/>
      </w:pPr>
      <w:r>
        <w:rPr>
          <w:rFonts w:ascii="Times New Roman" w:hAnsi="Times New Roman"/>
          <w:color w:val="000000"/>
        </w:rPr>
        <w:t>1.7 Summary and Rationale for the Present Study</w:t>
      </w:r>
    </w:p>
    <w:p/>
    <w:p>
      <w:pPr>
        <w:spacing w:line="360" w:lineRule="auto"/>
        <w:jc w:val="both"/>
      </w:pPr>
      <w:r>
        <w:rPr>
          <w:rFonts w:ascii="Times New Roman" w:hAnsi="Times New Roman"/>
          <w:sz w:val="24"/>
        </w:rP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variability by platform type, creator qualifications, and content format.</w:t>
      </w:r>
    </w:p>
    <w:p/>
    <w:p>
      <w:pPr>
        <w:spacing w:line="360" w:lineRule="auto"/>
        <w:jc w:val="both"/>
      </w:pPr>
      <w:r>
        <w:rPr>
          <w:rFonts w:ascii="Times New Roman" w:hAnsi="Times New Roman"/>
          <w:sz w:val="24"/>
        </w:rP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p>
      <w:pPr>
        <w:spacing w:line="360" w:lineRule="auto"/>
        <w:jc w:val="both"/>
      </w:pPr>
      <w:r>
        <w:rPr>
          <w:rFonts w:ascii="Times New Roman" w:hAnsi="Times New Roman"/>
          <w:sz w:val="24"/>
        </w:rPr>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p>
      <w:pPr>
        <w:spacing w:line="360" w:lineRule="auto"/>
        <w:ind w:left="720"/>
        <w:jc w:val="both"/>
      </w:pPr>
      <w:r>
        <w:rPr>
          <w:rFonts w:ascii="Times New Roman" w:hAnsi="Times New Roman"/>
          <w:sz w:val="24"/>
        </w:rPr>
        <w:t>1. How does physical activity information quality differ between traditional websites and social media platforms as measured by DISCERN and JAMA benchmarks?</w:t>
      </w:r>
    </w:p>
    <w:p>
      <w:pPr>
        <w:spacing w:line="360" w:lineRule="auto"/>
        <w:ind w:left="720"/>
        <w:jc w:val="both"/>
      </w:pPr>
      <w:r>
        <w:rPr>
          <w:rFonts w:ascii="Times New Roman" w:hAnsi="Times New Roman"/>
          <w:sz w:val="24"/>
        </w:rPr>
        <w:t>2. Does creator type (healthcare professional versus fitness influencer versus general user) moderate quality scores?</w:t>
      </w:r>
    </w:p>
    <w:p>
      <w:pPr>
        <w:spacing w:line="360" w:lineRule="auto"/>
        <w:ind w:left="720"/>
        <w:jc w:val="both"/>
      </w:pPr>
      <w:r>
        <w:rPr>
          <w:rFonts w:ascii="Times New Roman" w:hAnsi="Times New Roman"/>
          <w:sz w:val="24"/>
        </w:rPr>
        <w:t>3. What is the relationship between engagement metrics (views, likes, shares) and information quality?</w:t>
      </w:r>
    </w:p>
    <w:p/>
    <w:p>
      <w:pPr>
        <w:spacing w:line="360" w:lineRule="auto"/>
        <w:jc w:val="both"/>
      </w:pPr>
      <w:r>
        <w:rPr>
          <w:rFonts w:ascii="Times New Roman" w:hAnsi="Times New Roman"/>
          <w:sz w:val="24"/>
        </w:rP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