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3. RESEARCH FINDINGS</w:t>
      </w:r>
    </w:p>
    <w:p>
      <w:pPr>
        <w:pStyle w:val="Heading2"/>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TikTok was characterised by greater diversity in creator types, with the highest proportions of fitness influencers (n = 19, 40.4%) and general users (n = 9, 19.1%).</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8 (17%)</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19 (9.6%)</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6 (13%)</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32 (16.2%)</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19 (40%)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38 (19.3%)</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9 (19%)</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24 (12.2%)</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36 (72%)</w:t>
            </w:r>
          </w:p>
        </w:tc>
        <w:tc>
          <w:tcPr>
            <w:tcW w:type="dxa" w:w="1504"/>
          </w:tcPr>
          <w:p>
            <w:pPr>
              <w:spacing w:line="240" w:lineRule="auto" w:after="40" w:before="0"/>
              <w:jc w:val="center"/>
            </w:pPr>
            <w:r>
              <w:rPr>
                <w:rFonts w:ascii="Times New Roman" w:hAnsi="Times New Roman" w:cs="Times New Roman"/>
                <w:b w:val="0"/>
                <w:i w:val="0"/>
                <w:color w:val="000000"/>
                <w:sz w:val="20"/>
              </w:rPr>
              <w:t>14 (28%)</w:t>
            </w:r>
          </w:p>
        </w:tc>
        <w:tc>
          <w:tcPr>
            <w:tcW w:type="dxa" w:w="1504"/>
          </w:tcPr>
          <w:p>
            <w:pPr>
              <w:spacing w:line="240" w:lineRule="auto" w:after="40" w:before="0"/>
              <w:jc w:val="center"/>
            </w:pPr>
            <w:r>
              <w:rPr>
                <w:rFonts w:ascii="Times New Roman" w:hAnsi="Times New Roman" w:cs="Times New Roman"/>
                <w:b w:val="0"/>
                <w:i w:val="0"/>
                <w:color w:val="000000"/>
                <w:sz w:val="20"/>
              </w:rPr>
              <w:t>5 (11%)</w:t>
            </w:r>
          </w:p>
        </w:tc>
        <w:tc>
          <w:tcPr>
            <w:tcW w:type="dxa" w:w="1504"/>
          </w:tcPr>
          <w:p>
            <w:pPr>
              <w:spacing w:line="240" w:lineRule="auto" w:after="40" w:before="0"/>
              <w:jc w:val="center"/>
            </w:pPr>
            <w:r>
              <w:rPr>
                <w:rFonts w:ascii="Times New Roman" w:hAnsi="Times New Roman" w:cs="Times New Roman"/>
                <w:b w:val="0"/>
                <w:i w:val="0"/>
                <w:color w:val="000000"/>
                <w:sz w:val="20"/>
              </w:rPr>
              <w:t>29 (58%)</w:t>
            </w:r>
          </w:p>
        </w:tc>
        <w:tc>
          <w:tcPr>
            <w:tcW w:type="dxa" w:w="1504"/>
          </w:tcPr>
          <w:p>
            <w:pPr>
              <w:spacing w:line="240" w:lineRule="auto" w:after="40" w:before="0"/>
              <w:jc w:val="center"/>
            </w:pPr>
            <w:r>
              <w:rPr>
                <w:rFonts w:ascii="Times New Roman" w:hAnsi="Times New Roman" w:cs="Times New Roman"/>
                <w:b w:val="0"/>
                <w:i w:val="0"/>
                <w:color w:val="000000"/>
                <w:sz w:val="20"/>
              </w:rPr>
              <w:t>84 (42.6%)</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47</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197</w:t>
            </w:r>
          </w:p>
        </w:tc>
      </w:tr>
    </w:tbl>
    <w:p>
      <w:pPr>
        <w:spacing w:line="360" w:lineRule="auto" w:after="120" w:before="0"/>
        <w:jc w:val="both"/>
      </w:pPr>
      <w:r>
        <w:rPr>
          <w:rFonts w:ascii="Times New Roman" w:hAnsi="Times New Roman" w:cs="Times New Roman"/>
          <w:b w:val="0"/>
          <w:i w:val="0"/>
          <w:color w:val="000000"/>
          <w:sz w:val="24"/>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format means that content format and platform are perfectly confounded in this dataset; format differences in quality scores therefore reflect platform differences and cannot be attributed to format independently of platform.</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Content Format</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 (%)</w:t>
            </w:r>
          </w:p>
        </w:tc>
      </w:tr>
      <w:tr>
        <w:tc>
          <w:tcPr>
            <w:tcW w:type="dxa" w:w="3009"/>
          </w:tcPr>
          <w:p>
            <w:pPr>
              <w:spacing w:line="240" w:lineRule="auto" w:after="40" w:before="0"/>
              <w:jc w:val="center"/>
            </w:pPr>
            <w:r>
              <w:rPr>
                <w:rFonts w:ascii="Times New Roman" w:hAnsi="Times New Roman" w:cs="Times New Roman"/>
                <w:b w:val="0"/>
                <w:i w:val="0"/>
                <w:color w:val="000000"/>
                <w:sz w:val="20"/>
              </w:rPr>
              <w:t>Website</w:t>
            </w:r>
          </w:p>
        </w:tc>
        <w:tc>
          <w:tcPr>
            <w:tcW w:type="dxa" w:w="3009"/>
          </w:tcPr>
          <w:p>
            <w:pPr>
              <w:spacing w:line="240" w:lineRule="auto" w:after="40" w:before="0"/>
              <w:jc w:val="center"/>
            </w:pPr>
            <w:r>
              <w:rPr>
                <w:rFonts w:ascii="Times New Roman" w:hAnsi="Times New Roman" w:cs="Times New Roman"/>
                <w:b w:val="0"/>
                <w:i w:val="0"/>
                <w:color w:val="000000"/>
                <w:sz w:val="20"/>
              </w:rPr>
              <w:t>Text Article</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YouTube</w:t>
            </w:r>
          </w:p>
        </w:tc>
        <w:tc>
          <w:tcPr>
            <w:tcW w:type="dxa" w:w="3009"/>
          </w:tcPr>
          <w:p>
            <w:pPr>
              <w:spacing w:line="240" w:lineRule="auto" w:after="40" w:before="0"/>
              <w:jc w:val="center"/>
            </w:pPr>
            <w:r>
              <w:rPr>
                <w:rFonts w:ascii="Times New Roman" w:hAnsi="Times New Roman" w:cs="Times New Roman"/>
                <w:b w:val="0"/>
                <w:i w:val="0"/>
                <w:color w:val="000000"/>
                <w:sz w:val="20"/>
              </w:rPr>
              <w:t>Long Video (&gt;5 min)</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TikTok</w:t>
            </w:r>
          </w:p>
        </w:tc>
        <w:tc>
          <w:tcPr>
            <w:tcW w:type="dxa" w:w="3009"/>
          </w:tcPr>
          <w:p>
            <w:pPr>
              <w:spacing w:line="240" w:lineRule="auto" w:after="40" w:before="0"/>
              <w:jc w:val="center"/>
            </w:pPr>
            <w:r>
              <w:rPr>
                <w:rFonts w:ascii="Times New Roman" w:hAnsi="Times New Roman" w:cs="Times New Roman"/>
                <w:b w:val="0"/>
                <w:i w:val="0"/>
                <w:color w:val="000000"/>
                <w:sz w:val="20"/>
              </w:rPr>
              <w:t>Short Video (&lt;60 s)</w:t>
            </w:r>
          </w:p>
        </w:tc>
        <w:tc>
          <w:tcPr>
            <w:tcW w:type="dxa" w:w="3009"/>
          </w:tcPr>
          <w:p>
            <w:pPr>
              <w:spacing w:line="240" w:lineRule="auto" w:after="40" w:before="0"/>
              <w:jc w:val="center"/>
            </w:pPr>
            <w:r>
              <w:rPr>
                <w:rFonts w:ascii="Times New Roman" w:hAnsi="Times New Roman" w:cs="Times New Roman"/>
                <w:b w:val="0"/>
                <w:i w:val="0"/>
                <w:color w:val="000000"/>
                <w:sz w:val="20"/>
              </w:rPr>
              <w:t>47 (100%)</w:t>
            </w:r>
          </w:p>
        </w:tc>
      </w:tr>
      <w:tr>
        <w:tc>
          <w:tcPr>
            <w:tcW w:type="dxa" w:w="3009"/>
          </w:tcPr>
          <w:p>
            <w:pPr>
              <w:spacing w:line="240" w:lineRule="auto" w:after="40" w:before="0"/>
              <w:jc w:val="center"/>
            </w:pPr>
            <w:r>
              <w:rPr>
                <w:rFonts w:ascii="Times New Roman" w:hAnsi="Times New Roman" w:cs="Times New Roman"/>
                <w:b w:val="0"/>
                <w:i w:val="0"/>
                <w:color w:val="000000"/>
                <w:sz w:val="20"/>
              </w:rPr>
              <w:t>Instagram</w:t>
            </w:r>
          </w:p>
        </w:tc>
        <w:tc>
          <w:tcPr>
            <w:tcW w:type="dxa" w:w="3009"/>
          </w:tcPr>
          <w:p>
            <w:pPr>
              <w:spacing w:line="240" w:lineRule="auto" w:after="40" w:before="0"/>
              <w:jc w:val="center"/>
            </w:pPr>
            <w:r>
              <w:rPr>
                <w:rFonts w:ascii="Times New Roman" w:hAnsi="Times New Roman" w:cs="Times New Roman"/>
                <w:b w:val="0"/>
                <w:i w:val="0"/>
                <w:color w:val="000000"/>
                <w:sz w:val="20"/>
              </w:rPr>
              <w:t>Carousel</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bl>
    <w:p>
      <w:pPr>
        <w:pStyle w:val="Heading2"/>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pStyle w:val="Heading2"/>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excellent), the modal category for websites was 'fair' (44%), for YouTube 'fair' (48%), for TikTok 'poor' (55.3%),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47</w:t>
            </w:r>
          </w:p>
        </w:tc>
        <w:tc>
          <w:tcPr>
            <w:tcW w:type="dxa" w:w="1003"/>
          </w:tcPr>
          <w:p>
            <w:pPr>
              <w:spacing w:line="240" w:lineRule="auto" w:after="40" w:before="0"/>
              <w:jc w:val="center"/>
            </w:pPr>
            <w:r>
              <w:rPr>
                <w:rFonts w:ascii="Times New Roman" w:hAnsi="Times New Roman" w:cs="Times New Roman"/>
                <w:b w:val="0"/>
                <w:i w:val="0"/>
                <w:color w:val="000000"/>
                <w:sz w:val="20"/>
              </w:rPr>
              <w:t>35.64</w:t>
            </w:r>
          </w:p>
        </w:tc>
        <w:tc>
          <w:tcPr>
            <w:tcW w:type="dxa" w:w="1003"/>
          </w:tcPr>
          <w:p>
            <w:pPr>
              <w:spacing w:line="240" w:lineRule="auto" w:after="40" w:before="0"/>
              <w:jc w:val="center"/>
            </w:pPr>
            <w:r>
              <w:rPr>
                <w:rFonts w:ascii="Times New Roman" w:hAnsi="Times New Roman" w:cs="Times New Roman"/>
                <w:b w:val="0"/>
                <w:i w:val="0"/>
                <w:color w:val="000000"/>
                <w:sz w:val="20"/>
              </w:rPr>
              <w:t>7.97</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31.00</w:t>
            </w:r>
          </w:p>
        </w:tc>
        <w:tc>
          <w:tcPr>
            <w:tcW w:type="dxa" w:w="1003"/>
          </w:tcPr>
          <w:p>
            <w:pPr>
              <w:spacing w:line="240" w:lineRule="auto" w:after="40" w:before="0"/>
              <w:jc w:val="center"/>
            </w:pPr>
            <w:r>
              <w:rPr>
                <w:rFonts w:ascii="Times New Roman" w:hAnsi="Times New Roman" w:cs="Times New Roman"/>
                <w:b w:val="0"/>
                <w:i w:val="0"/>
                <w:color w:val="000000"/>
                <w:sz w:val="20"/>
              </w:rPr>
              <w:t>39.00</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197</w:t>
            </w:r>
          </w:p>
        </w:tc>
        <w:tc>
          <w:tcPr>
            <w:tcW w:type="dxa" w:w="1003"/>
          </w:tcPr>
          <w:p>
            <w:pPr>
              <w:spacing w:line="240" w:lineRule="auto" w:after="40" w:before="0"/>
              <w:jc w:val="center"/>
            </w:pPr>
            <w:r>
              <w:rPr>
                <w:rFonts w:ascii="Times New Roman" w:hAnsi="Times New Roman" w:cs="Times New Roman"/>
                <w:b w:val="0"/>
                <w:i w:val="0"/>
                <w:color w:val="000000"/>
                <w:sz w:val="20"/>
              </w:rPr>
              <w:t>38.68</w:t>
            </w:r>
          </w:p>
        </w:tc>
        <w:tc>
          <w:tcPr>
            <w:tcW w:type="dxa" w:w="1003"/>
          </w:tcPr>
          <w:p>
            <w:pPr>
              <w:spacing w:line="240" w:lineRule="auto" w:after="40" w:before="0"/>
              <w:jc w:val="center"/>
            </w:pPr>
            <w:r>
              <w:rPr>
                <w:rFonts w:ascii="Times New Roman" w:hAnsi="Times New Roman" w:cs="Times New Roman"/>
                <w:b w:val="0"/>
                <w:i w:val="0"/>
                <w:color w:val="000000"/>
                <w:sz w:val="20"/>
              </w:rPr>
              <w:t>10.16</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Pairwise Mann-Whitney U comparisons with Bonferroni correction revealed significant differences for all six platform pairs (Appendix Table C3).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1972, p &lt; .001, r = -0.678), YouTube versus TikTok (U = 1775, p &lt; .001, r = -0.511), and TikTok versus Instagram (U = 1740, p &lt; .001, r = -0.480)—all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 (Sun et al., 2023).</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pStyle w:val="Heading2"/>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29.8%</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12.8%</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1.43</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pStyle w:val="Heading2"/>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 of 41.0, compared with 37.0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pPr>
        <w:spacing w:line="360" w:lineRule="auto" w:after="120" w:before="0"/>
        <w:jc w:val="both"/>
      </w:pPr>
      <w:r>
        <w:rPr>
          <w:rFonts w:ascii="Times New Roman" w:hAnsi="Times New Roman" w:cs="Times New Roman"/>
          <w:b w:val="0"/>
          <w:i w:val="0"/>
          <w:color w:val="000000"/>
          <w:sz w:val="24"/>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pStyle w:val="Heading2"/>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Appendix Table C6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pStyle w:val="Heading2"/>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pStyle w:val="Heading2"/>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