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line="360" w:lineRule="auto"/>
        <w:jc w:val="center"/>
      </w:pPr>
      <w:r>
        <w:rPr>
          <w:rFonts w:ascii="Times New Roman" w:hAnsi="Times New Roman" w:cs="Times New Roman"/>
          <w:rFonts w:ascii="Times New Roman" w:hAnsi="Times New Roman"/>
          <w:b/>
          <w:i w:val="0"/>
          <w:sz w:val="28"/>
        </w:rPr>
        <w:t>CHAPTER 2. RESEARCH METHODOLOGY</w:t>
      </w:r>
    </w:p>
    <w:p>
      <w:pPr>
        <w:spacing w:before="0" w:after="120" w:line="360" w:lineRule="auto"/>
        <w:ind w:firstLine="720"/>
        <w:jc w:val="both"/>
      </w:pPr>
      <w:r>
        <w:rPr>
          <w:rFonts w:ascii="Times New Roman" w:hAnsi="Times New Roman" w:cs="Times New Roman"/>
          <w:rFonts w:ascii="Times New Roman" w:hAnsi="Times New Roman"/>
          <w:b w:val="0"/>
          <w:i w:val="0"/>
          <w:sz w:val="24"/>
        </w:rPr>
        <w:t>This chapter presents the methodological framework employed to investigate the quality of physical activity (PA) information across traditional websites and social media platforms. The research methodology encompasses the research object, strategy and logic, nature of the research, description of research subjects, data collection and assessment methods, organisational procedures, and statistical analysis techniques. Each component is detailed to ensure transparency, replicability, and methodological rigour in alignment with established standards for content analysis in health communication research.</w:t>
      </w:r>
    </w:p>
    <w:p>
      <w:pPr>
        <w:spacing w:before="240" w:after="120" w:line="360" w:lineRule="auto"/>
        <w:jc w:val="left"/>
      </w:pPr>
      <w:r>
        <w:rPr>
          <w:rFonts w:ascii="Times New Roman" w:hAnsi="Times New Roman" w:cs="Times New Roman"/>
          <w:rFonts w:ascii="Times New Roman" w:hAnsi="Times New Roman"/>
          <w:b/>
          <w:i w:val="0"/>
          <w:sz w:val="24"/>
        </w:rPr>
        <w:t>2.1 Research Object</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object of the present study is the quality of physical activity information available on traditional websites and social media platforms. Specifically, this investigation examines health-related content pertaining to physical activity that is publicly accessible through Google search results (representing traditional web-based information), YouTube, TikTok, and Instagram (representing contemporary social media platforms). Physical activity information is defined as any content that provides guidance, recommendations, instructions, or educational material regarding exercise, fitness, or physical activity behaviours intended for a general adult audience.</w:t>
      </w:r>
    </w:p>
    <w:p>
      <w:pPr>
        <w:spacing w:before="0" w:after="120" w:line="360" w:lineRule="auto"/>
        <w:ind w:firstLine="720"/>
        <w:jc w:val="both"/>
      </w:pPr>
      <w:r>
        <w:rPr>
          <w:rFonts w:ascii="Times New Roman" w:hAnsi="Times New Roman" w:cs="Times New Roman"/>
          <w:rFonts w:ascii="Times New Roman" w:hAnsi="Times New Roman"/>
          <w:b w:val="0"/>
          <w:i w:val="0"/>
          <w:sz w:val="24"/>
        </w:rPr>
        <w:t>The assessment of information quality is operationalised through two established benchmarks: the DISCERN instrument (Charnock et al., 1999), which evaluates the reliability and completeness of health information, and the JAMA benchmarks (Silberg et al., 1997), which assess accountability standards including authorship, attribution, disclosure, and currency. Together, these instruments provide a comprehensive evaluation framework that captures both the substantive quality and the transparency of health information across diverse digital platforms.</w:t>
      </w:r>
    </w:p>
    <w:p>
      <w:pPr>
        <w:spacing w:before="240" w:after="120" w:line="360" w:lineRule="auto"/>
        <w:jc w:val="left"/>
      </w:pPr>
      <w:r>
        <w:rPr>
          <w:rFonts w:ascii="Times New Roman" w:hAnsi="Times New Roman" w:cs="Times New Roman"/>
          <w:rFonts w:ascii="Times New Roman" w:hAnsi="Times New Roman"/>
          <w:b/>
          <w:i w:val="0"/>
          <w:sz w:val="24"/>
        </w:rPr>
        <w:t>2.2 Research Strategy and Logic</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employs a cross-sectional content analysis design, which enables the systematic examination and comparison of physical activity information quality across four digital platforms at a single point in time. Content analysis is a well-established research method in health communication that facilitates the objective, systematic, and quantitative description of manifest content (Krippendorff, 2018). The cross-sectional approach was selected for its capacity to capture a snapshot of the current information landscape, allowing for direct comparisons across platforms under identical assessment conditions.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research follows a deductive approach, applying established quality assessment frameworks—the DISCERN instrument and JAMA benchmarks—to evaluate content across a novel four-platform comparison. While these instruments were originally developed for traditional health information materials, their application to social media content represents a theoretically grounded extension that has been validated in prior research examining YouTube (Azer, 2020), TikTok (Kong et al., 2024), and Instagram health content (Chea &amp; Lim, 2023).</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design was structured using the SPIDER framework (Cooke et al., 2012), adapted for content analysis as follows:</w:t>
      </w:r>
    </w:p>
    <w:p>
      <w:pPr>
        <w:spacing w:before="0" w:after="40" w:line="360" w:lineRule="auto"/>
        <w:ind w:left="720"/>
        <w:jc w:val="both"/>
      </w:pPr>
      <w:r>
        <w:rPr>
          <w:rFonts w:ascii="Times New Roman" w:hAnsi="Times New Roman" w:cs="Times New Roman"/>
          <w:rFonts w:ascii="Times New Roman" w:hAnsi="Times New Roman"/>
          <w:b/>
          <w:i w:val="0"/>
          <w:sz w:val="24"/>
        </w:rPr>
        <w:t xml:space="preserve">• Sample: </w:t>
      </w:r>
      <w:r>
        <w:rPr>
          <w:rFonts w:ascii="Times New Roman" w:hAnsi="Times New Roman" w:cs="Times New Roman"/>
          <w:rFonts w:ascii="Times New Roman" w:hAnsi="Times New Roman"/>
          <w:b w:val="0"/>
          <w:i w:val="0"/>
          <w:sz w:val="24"/>
        </w:rPr>
        <w:t>200 content items across four platforms (50 per platform).</w:t>
      </w:r>
    </w:p>
    <w:p>
      <w:pPr>
        <w:spacing w:before="0" w:after="40" w:line="360" w:lineRule="auto"/>
        <w:ind w:left="720"/>
        <w:jc w:val="both"/>
      </w:pPr>
      <w:r>
        <w:rPr>
          <w:rFonts w:ascii="Times New Roman" w:hAnsi="Times New Roman" w:cs="Times New Roman"/>
          <w:rFonts w:ascii="Times New Roman" w:hAnsi="Times New Roman"/>
          <w:b/>
          <w:i w:val="0"/>
          <w:sz w:val="24"/>
        </w:rPr>
        <w:t xml:space="preserve">• Phenomenon of Interest: </w:t>
      </w:r>
      <w:r>
        <w:rPr>
          <w:rFonts w:ascii="Times New Roman" w:hAnsi="Times New Roman" w:cs="Times New Roman"/>
          <w:rFonts w:ascii="Times New Roman" w:hAnsi="Times New Roman"/>
          <w:b w:val="0"/>
          <w:i w:val="0"/>
          <w:sz w:val="24"/>
        </w:rPr>
        <w:t>Quality of physical activity information.</w:t>
      </w:r>
    </w:p>
    <w:p>
      <w:pPr>
        <w:spacing w:before="0" w:after="40" w:line="360" w:lineRule="auto"/>
        <w:ind w:left="720"/>
        <w:jc w:val="both"/>
      </w:pPr>
      <w:r>
        <w:rPr>
          <w:rFonts w:ascii="Times New Roman" w:hAnsi="Times New Roman" w:cs="Times New Roman"/>
          <w:rFonts w:ascii="Times New Roman" w:hAnsi="Times New Roman"/>
          <w:b/>
          <w:i w:val="0"/>
          <w:sz w:val="24"/>
        </w:rPr>
        <w:t xml:space="preserve">• Design: </w:t>
      </w:r>
      <w:r>
        <w:rPr>
          <w:rFonts w:ascii="Times New Roman" w:hAnsi="Times New Roman" w:cs="Times New Roman"/>
          <w:rFonts w:ascii="Times New Roman" w:hAnsi="Times New Roman"/>
          <w:b w:val="0"/>
          <w:i w:val="0"/>
          <w:sz w:val="24"/>
        </w:rPr>
        <w:t>Cross-sectional content analysis.</w:t>
      </w:r>
    </w:p>
    <w:p>
      <w:pPr>
        <w:spacing w:before="0" w:after="40" w:line="360" w:lineRule="auto"/>
        <w:ind w:left="720"/>
        <w:jc w:val="both"/>
      </w:pPr>
      <w:r>
        <w:rPr>
          <w:rFonts w:ascii="Times New Roman" w:hAnsi="Times New Roman" w:cs="Times New Roman"/>
          <w:rFonts w:ascii="Times New Roman" w:hAnsi="Times New Roman"/>
          <w:b/>
          <w:i w:val="0"/>
          <w:sz w:val="24"/>
        </w:rPr>
        <w:t xml:space="preserve">• Evaluation: </w:t>
      </w:r>
      <w:r>
        <w:rPr>
          <w:rFonts w:ascii="Times New Roman" w:hAnsi="Times New Roman" w:cs="Times New Roman"/>
          <w:rFonts w:ascii="Times New Roman" w:hAnsi="Times New Roman"/>
          <w:b w:val="0"/>
          <w:i w:val="0"/>
          <w:sz w:val="24"/>
        </w:rPr>
        <w:t>DISCERN instrument and JAMA benchmarks.</w:t>
      </w:r>
    </w:p>
    <w:p>
      <w:pPr>
        <w:spacing w:before="0" w:after="40" w:line="360" w:lineRule="auto"/>
        <w:ind w:left="720"/>
        <w:jc w:val="both"/>
      </w:pPr>
      <w:r>
        <w:rPr>
          <w:rFonts w:ascii="Times New Roman" w:hAnsi="Times New Roman" w:cs="Times New Roman"/>
          <w:rFonts w:ascii="Times New Roman" w:hAnsi="Times New Roman"/>
          <w:b/>
          <w:i w:val="0"/>
          <w:sz w:val="24"/>
        </w:rPr>
        <w:t xml:space="preserve">• Research type: </w:t>
      </w:r>
      <w:r>
        <w:rPr>
          <w:rFonts w:ascii="Times New Roman" w:hAnsi="Times New Roman" w:cs="Times New Roman"/>
          <w:rFonts w:ascii="Times New Roman" w:hAnsi="Times New Roman"/>
          <w:b w:val="0"/>
          <w:i w:val="0"/>
          <w:sz w:val="24"/>
        </w:rPr>
        <w:t>Quantitative.</w:t>
      </w:r>
    </w:p>
    <w:p>
      <w:pPr>
        <w:spacing w:before="0" w:after="120" w:line="360" w:lineRule="auto"/>
        <w:ind w:firstLine="720"/>
        <w:jc w:val="both"/>
      </w:pPr>
      <w:r>
        <w:rPr>
          <w:rFonts w:ascii="Times New Roman" w:hAnsi="Times New Roman" w:cs="Times New Roman"/>
          <w:rFonts w:ascii="Times New Roman" w:hAnsi="Times New Roman"/>
          <w:b w:val="0"/>
          <w:i w:val="0"/>
          <w:sz w:val="24"/>
        </w:rPr>
        <w:t>The rationale for employing a cross-sectional content analysis rather than a systematic review lies in the current state of the literature. Recent meta-analyses have already synthesised the existing body of evidence on health information quality across individual platforms (Ayyash et al., 2025; Ayyash, Musaad, et al., 2025). However, no study to date has conducted a direct, head-to-head comparison of physical activity information quality across traditional websites, YouTube, TikTok, and Instagram using both the DISCERN and JAMA instruments simultaneously. The present study addresses this gap by providing the first four-platform comparative analysis using dual quality assessment frameworks applied specifically to physical activity content.</w:t>
      </w:r>
    </w:p>
    <w:p>
      <w:pPr>
        <w:spacing w:before="240" w:after="120" w:line="360" w:lineRule="auto"/>
        <w:jc w:val="left"/>
      </w:pPr>
      <w:r>
        <w:rPr>
          <w:rFonts w:ascii="Times New Roman" w:hAnsi="Times New Roman" w:cs="Times New Roman"/>
          <w:rFonts w:ascii="Times New Roman" w:hAnsi="Times New Roman"/>
          <w:b/>
          <w:i w:val="0"/>
          <w:sz w:val="24"/>
        </w:rPr>
        <w:t>2.3 Nature of Research</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is quantitative in nature, employing numerical scoring instruments to assess information quality and statistical methods to analyse the resulting data. The research is both descriptive and comparative: descriptive in that it characterises the quality of physical activity information across platforms using standardised metrics, and comparative in that it systematically examines differences in quality scores between platform types, creator categories, and content formats.</w:t>
      </w:r>
    </w:p>
    <w:p>
      <w:pPr>
        <w:spacing w:before="0" w:after="120" w:line="360" w:lineRule="auto"/>
        <w:ind w:firstLine="720"/>
        <w:jc w:val="both"/>
      </w:pPr>
      <w:r>
        <w:rPr>
          <w:rFonts w:ascii="Times New Roman" w:hAnsi="Times New Roman" w:cs="Times New Roman"/>
          <w:rFonts w:ascii="Times New Roman" w:hAnsi="Times New Roman"/>
          <w:b w:val="0"/>
          <w:i w:val="0"/>
          <w:sz w:val="24"/>
        </w:rPr>
        <w:t>Furthermore, this study represents applied research with practical implications for multiple stakeholders. The findings are intended to inform health literacy initiatives, guide content regulation policies on social media platforms, assist healthcare professionals in directing patients toward reliable information sources, and contribute to the broader understanding of digital health information ecosystems. The applied orientation aligns with the growing recognition that the quality of online health information has direct consequences for public health behaviours and outcomes (Swire-Thompson &amp; Lazer, 2020).</w:t>
      </w:r>
    </w:p>
    <w:p>
      <w:pPr>
        <w:spacing w:before="240" w:after="120" w:line="360" w:lineRule="auto"/>
        <w:jc w:val="left"/>
      </w:pPr>
      <w:r>
        <w:rPr>
          <w:rFonts w:ascii="Times New Roman" w:hAnsi="Times New Roman" w:cs="Times New Roman"/>
          <w:rFonts w:ascii="Times New Roman" w:hAnsi="Times New Roman"/>
          <w:b/>
          <w:i w:val="0"/>
          <w:sz w:val="24"/>
        </w:rPr>
        <w:t>2.4 Contingent of Research Subjects</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sample comprises a total of N = 200 content items collected from four digital platforms: traditional websites accessed through Google search (n = 50), YouTube (n = 50), TikTok (n = 50), and Instagram (n = 50). This sample size was determined based on precedent in health information quality research, where samples of 40–60 items per platform have been established as sufficient for detecting meaningful quality differences (Leong et al., 2021; Drozd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Content was retrieved using five standardised search terms designed to simulate typical user queries related to physical activity:</w:t>
      </w:r>
    </w:p>
    <w:p>
      <w:pPr>
        <w:spacing w:before="0" w:after="40" w:line="360" w:lineRule="auto"/>
        <w:ind w:left="720"/>
        <w:jc w:val="left"/>
      </w:pPr>
      <w:r>
        <w:rPr>
          <w:rFonts w:ascii="Times New Roman" w:hAnsi="Times New Roman" w:cs="Times New Roman"/>
          <w:rFonts w:ascii="Times New Roman" w:hAnsi="Times New Roman"/>
          <w:b w:val="0"/>
          <w:i w:val="0"/>
          <w:sz w:val="24"/>
        </w:rPr>
        <w:t>• “How to start exercising”</w:t>
      </w:r>
    </w:p>
    <w:p>
      <w:pPr>
        <w:spacing w:before="0" w:after="40" w:line="360" w:lineRule="auto"/>
        <w:ind w:left="720"/>
        <w:jc w:val="left"/>
      </w:pPr>
      <w:r>
        <w:rPr>
          <w:rFonts w:ascii="Times New Roman" w:hAnsi="Times New Roman" w:cs="Times New Roman"/>
          <w:rFonts w:ascii="Times New Roman" w:hAnsi="Times New Roman"/>
          <w:b w:val="0"/>
          <w:i w:val="0"/>
          <w:sz w:val="24"/>
        </w:rPr>
        <w:t>• “Best exercises to lose weight”</w:t>
      </w:r>
    </w:p>
    <w:p>
      <w:pPr>
        <w:spacing w:before="0" w:after="40" w:line="360" w:lineRule="auto"/>
        <w:ind w:left="720"/>
        <w:jc w:val="left"/>
      </w:pPr>
      <w:r>
        <w:rPr>
          <w:rFonts w:ascii="Times New Roman" w:hAnsi="Times New Roman" w:cs="Times New Roman"/>
          <w:rFonts w:ascii="Times New Roman" w:hAnsi="Times New Roman"/>
          <w:b w:val="0"/>
          <w:i w:val="0"/>
          <w:sz w:val="24"/>
        </w:rPr>
        <w:t>• “Strength training for beginners”</w:t>
      </w:r>
    </w:p>
    <w:p>
      <w:pPr>
        <w:spacing w:before="0" w:after="40" w:line="360" w:lineRule="auto"/>
        <w:ind w:left="720"/>
        <w:jc w:val="left"/>
      </w:pPr>
      <w:r>
        <w:rPr>
          <w:rFonts w:ascii="Times New Roman" w:hAnsi="Times New Roman" w:cs="Times New Roman"/>
          <w:rFonts w:ascii="Times New Roman" w:hAnsi="Times New Roman"/>
          <w:b w:val="0"/>
          <w:i w:val="0"/>
          <w:sz w:val="24"/>
        </w:rPr>
        <w:t>• “Physical activity guidelines”</w:t>
      </w:r>
    </w:p>
    <w:p>
      <w:pPr>
        <w:spacing w:before="0" w:after="40" w:line="360" w:lineRule="auto"/>
        <w:ind w:left="720"/>
        <w:jc w:val="left"/>
      </w:pPr>
      <w:r>
        <w:rPr>
          <w:rFonts w:ascii="Times New Roman" w:hAnsi="Times New Roman" w:cs="Times New Roman"/>
          <w:rFonts w:ascii="Times New Roman" w:hAnsi="Times New Roman"/>
          <w:b w:val="0"/>
          <w:i w:val="0"/>
          <w:sz w:val="24"/>
        </w:rPr>
        <w:t>• “Home workout routine”</w:t>
      </w:r>
    </w:p>
    <w:p>
      <w:pPr>
        <w:spacing w:before="0" w:after="120" w:line="360" w:lineRule="auto"/>
        <w:ind w:firstLine="720"/>
        <w:jc w:val="both"/>
      </w:pPr>
      <w:r>
        <w:rPr>
          <w:rFonts w:ascii="Times New Roman" w:hAnsi="Times New Roman" w:cs="Times New Roman"/>
          <w:rFonts w:ascii="Times New Roman" w:hAnsi="Times New Roman"/>
          <w:b w:val="0"/>
          <w:i w:val="0"/>
          <w:sz w:val="24"/>
        </w:rPr>
        <w:t>These search terms were selected to represent a range of common physical activity information-seeking behaviours, from general exercise initiation to specific activity modalities. For each search term, the first 10 results were collected from each platform, yielding 10 results × 5 search terms × 4 platforms = 200 content items. The sampling strategy employed convenience sampling of top-ranked search results, which simulates the actual information-seeking behaviour of typical users who predominantly access the first page of search results (Pan et al., 2007).</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Inclusion criteria. </w:t>
      </w:r>
      <w:r>
        <w:rPr>
          <w:rFonts w:ascii="Times New Roman" w:hAnsi="Times New Roman" w:cs="Times New Roman"/>
          <w:rFonts w:ascii="Times New Roman" w:hAnsi="Times New Roman"/>
          <w:b w:val="0"/>
          <w:i w:val="0"/>
          <w:sz w:val="24"/>
        </w:rPr>
        <w:t>Content items were included if they met all of the following criteria: (a) written or presented in English, (b) publicly accessible without account registration or payment, (c) containing substantive physical activity information (i.e., providing guidance, instructions, or educational content about exercise or physical activity), and (d) posted or last updated within the three years preceding data collection (i.e., from February 2023 onward).</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Exclusion criteria. </w:t>
      </w:r>
      <w:r>
        <w:rPr>
          <w:rFonts w:ascii="Times New Roman" w:hAnsi="Times New Roman" w:cs="Times New Roman"/>
          <w:rFonts w:ascii="Times New Roman" w:hAnsi="Times New Roman"/>
          <w:b w:val="0"/>
          <w:i w:val="0"/>
          <w:sz w:val="24"/>
        </w:rPr>
        <w:t>Content items were excluded if they met any of the following criteria: (a) duplicate content appearing across multiple platforms, (b) content behind a paywall or requiring subscription access, (c) content not primarily focused on physical activity (e.g., product-only advertisements, unrelated entertainment), or (d) content in languages other than English. When a result was excluded, the next sequential result from the same search was included as a replacement to maintain the target sample size.</w:t>
      </w:r>
    </w:p>
    <w:p>
      <w:pPr>
        <w:spacing w:before="0" w:after="120" w:line="360" w:lineRule="auto"/>
        <w:ind w:firstLine="720"/>
        <w:jc w:val="both"/>
      </w:pPr>
      <w:r>
        <w:rPr>
          <w:rFonts w:ascii="Times New Roman" w:hAnsi="Times New Roman" w:cs="Times New Roman"/>
          <w:rFonts w:ascii="Times New Roman" w:hAnsi="Times New Roman"/>
          <w:b w:val="0"/>
          <w:i w:val="0"/>
          <w:sz w:val="24"/>
        </w:rPr>
        <w:t>Table 2.1 presents the sampling matrix illustrating the distribution of content items across search terms and platforms.</w:t>
      </w:r>
    </w:p>
    <w:p>
      <w:pPr>
        <w:spacing w:before="240" w:after="0" w:line="360" w:lineRule="auto"/>
        <w:jc w:val="left"/>
      </w:pPr>
      <w:r>
        <w:rPr>
          <w:rFonts w:ascii="Times New Roman" w:hAnsi="Times New Roman" w:cs="Times New Roman"/>
          <w:rFonts w:ascii="Times New Roman" w:hAnsi="Times New Roman"/>
          <w:b/>
          <w:i w:val="0"/>
          <w:sz w:val="24"/>
        </w:rPr>
        <w:t>Table 2.1</w:t>
      </w:r>
    </w:p>
    <w:p>
      <w:pPr>
        <w:spacing w:before="0" w:after="120" w:line="360" w:lineRule="auto"/>
        <w:jc w:val="left"/>
      </w:pPr>
      <w:r>
        <w:rPr>
          <w:rFonts w:ascii="Times New Roman" w:hAnsi="Times New Roman" w:cs="Times New Roman"/>
          <w:rFonts w:ascii="Times New Roman" w:hAnsi="Times New Roman"/>
          <w:b w:val="0"/>
          <w:i/>
          <w:sz w:val="24"/>
        </w:rPr>
        <w:t>Sampling Matrix: Distribution of Content Items by Search Term and Platform</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4"/>
        <w:gridCol w:w="1504"/>
        <w:gridCol w:w="1504"/>
        <w:gridCol w:w="1504"/>
        <w:gridCol w:w="1504"/>
        <w:gridCol w:w="1504"/>
      </w:tblGrid>
      <w:tr>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Search Term</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Google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YouTube</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TikTok</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Instagram</w:t>
              <w:br/>
              <w:t>(n)</w:t>
            </w:r>
          </w:p>
        </w:tc>
        <w:tc>
          <w:tcPr>
            <w:tcW w:type="dxa" w:w="1247"/>
            <w:shd w:fill="D9E2F3"/>
          </w:tcPr>
          <w:p>
            <w:pPr>
              <w:spacing w:before="20" w:after="20" w:line="276" w:lineRule="auto"/>
              <w:jc w:val="center"/>
            </w:pPr>
            <w:r/>
            <w:r>
              <w:rPr>
                <w:rFonts w:ascii="Times New Roman" w:hAnsi="Times New Roman" w:cs="Times New Roman"/>
                <w:rFonts w:ascii="Times New Roman" w:hAnsi="Times New Roman"/>
                <w:b/>
                <w:i w:val="0"/>
                <w:sz w:val="20"/>
              </w:rPr>
              <w:t>Total</w:t>
              <w:br/>
              <w:t>(N)</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How to start exercising</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Best exercises to lose weight</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Strength training for beginners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Physical activity guidelines</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Home workout routine</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10</w:t>
            </w:r>
          </w:p>
        </w:tc>
        <w:tc>
          <w:tcPr>
            <w:tcW w:type="dxa" w:w="1247"/>
          </w:tcPr>
          <w:p>
            <w:pPr>
              <w:spacing w:before="20" w:after="20" w:line="276" w:lineRule="auto"/>
              <w:jc w:val="center"/>
            </w:pPr>
            <w:r/>
            <w:r>
              <w:rPr>
                <w:rFonts w:ascii="Times New Roman" w:hAnsi="Times New Roman" w:cs="Times New Roman"/>
                <w:rFonts w:ascii="Times New Roman" w:hAnsi="Times New Roman"/>
                <w:b w:val="0"/>
                <w:i w:val="0"/>
                <w:sz w:val="20"/>
              </w:rPr>
              <w:t>40</w:t>
            </w:r>
          </w:p>
        </w:tc>
      </w:tr>
      <w:tr>
        <w:tc>
          <w:tcPr>
            <w:tcW w:type="dxa" w:w="3118"/>
            <w:shd w:fill="E2EFDA"/>
          </w:tcPr>
          <w:p>
            <w:pPr>
              <w:spacing w:before="20" w:after="20" w:line="276" w:lineRule="auto"/>
              <w:jc w:val="left"/>
            </w:pPr>
            <w:r/>
            <w:r>
              <w:rPr>
                <w:rFonts w:ascii="Times New Roman" w:hAnsi="Times New Roman" w:cs="Times New Roman"/>
                <w:rFonts w:ascii="Times New Roman" w:hAnsi="Times New Roman"/>
                <w:b/>
                <w:i w:val="0"/>
                <w:sz w:val="20"/>
              </w:rPr>
              <w:t>Total</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50</w:t>
            </w:r>
          </w:p>
        </w:tc>
        <w:tc>
          <w:tcPr>
            <w:tcW w:type="dxa" w:w="1247"/>
            <w:shd w:fill="E2EFDA"/>
          </w:tcPr>
          <w:p>
            <w:pPr>
              <w:spacing w:before="20" w:after="20" w:line="276" w:lineRule="auto"/>
              <w:jc w:val="center"/>
            </w:pPr>
            <w:r/>
            <w:r>
              <w:rPr>
                <w:rFonts w:ascii="Times New Roman" w:hAnsi="Times New Roman" w:cs="Times New Roman"/>
                <w:rFonts w:ascii="Times New Roman" w:hAnsi="Times New Roman"/>
                <w:b/>
                <w:i w:val="0"/>
                <w:sz w:val="20"/>
              </w:rPr>
              <w:t>200</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Each cell represents the number of content items collected per search term per platform. Total sample N = 200.</w:t>
      </w:r>
    </w:p>
    <w:p>
      <w:pPr>
        <w:spacing w:before="240" w:after="120" w:line="360" w:lineRule="auto"/>
        <w:jc w:val="left"/>
      </w:pPr>
      <w:r>
        <w:rPr>
          <w:rFonts w:ascii="Times New Roman" w:hAnsi="Times New Roman" w:cs="Times New Roman"/>
          <w:rFonts w:ascii="Times New Roman" w:hAnsi="Times New Roman"/>
          <w:b/>
          <w:i w:val="0"/>
          <w:sz w:val="24"/>
        </w:rPr>
        <w:t>2.5 Research Methods</w:t>
      </w:r>
    </w:p>
    <w:p>
      <w:pPr>
        <w:spacing w:before="160" w:after="120" w:line="360" w:lineRule="auto"/>
        <w:jc w:val="left"/>
      </w:pPr>
      <w:r>
        <w:rPr>
          <w:rFonts w:ascii="Times New Roman" w:hAnsi="Times New Roman" w:cs="Times New Roman"/>
          <w:rFonts w:ascii="Times New Roman" w:hAnsi="Times New Roman"/>
          <w:b/>
          <w:i w:val="0"/>
          <w:sz w:val="24"/>
        </w:rPr>
        <w:t>2.5.1 Data Collection Procedures</w:t>
      </w:r>
    </w:p>
    <w:p>
      <w:pPr>
        <w:spacing w:before="0" w:after="120" w:line="360" w:lineRule="auto"/>
        <w:ind w:firstLine="720"/>
        <w:jc w:val="both"/>
      </w:pPr>
      <w:r>
        <w:rPr>
          <w:rFonts w:ascii="Times New Roman" w:hAnsi="Times New Roman" w:cs="Times New Roman"/>
          <w:rFonts w:ascii="Times New Roman" w:hAnsi="Times New Roman"/>
          <w:b w:val="0"/>
          <w:i w:val="0"/>
          <w:sz w:val="24"/>
        </w:rPr>
        <w:t>Data collection was conducted using a systematic protocol designed to minimise algorithmic bias and ensure reproducibility. All searches were performed using incognito or private browsing mode to reduce the influence of personalised search algorithms and browsing history on result rankings (Tripodi, 2018). The browser geolocation was configured to a neutral English-speaking region to standardise the search environment across all platforms.</w:t>
      </w:r>
    </w:p>
    <w:p>
      <w:pPr>
        <w:spacing w:before="0" w:after="120" w:line="360" w:lineRule="auto"/>
        <w:ind w:firstLine="720"/>
        <w:jc w:val="both"/>
      </w:pPr>
      <w:r>
        <w:rPr>
          <w:rFonts w:ascii="Times New Roman" w:hAnsi="Times New Roman" w:cs="Times New Roman"/>
          <w:rFonts w:ascii="Times New Roman" w:hAnsi="Times New Roman"/>
          <w:b w:val="0"/>
          <w:i w:val="0"/>
          <w:sz w:val="24"/>
        </w:rPr>
        <w:t>For traditional websites (Google) and YouTube, an automated data collection approach was employed using Playwright, an open-source browser automation framework. The automated scripts navigated to each platform, entered the standardised search terms, and systematically recorded the top 10 results for each query. This approach ensured consistency in result capture and eliminated human error in the recording of search rankings, URLs, and metadata. For TikTok and Instagram, manual data collection was conducted due to these platforms’ implementation of anti-bot measures that prevent reliable browser automation. The primary researcher manually searched each term within the platform’s native search function, recording the first 10 relevant results in order of appearance.</w:t>
      </w:r>
    </w:p>
    <w:p>
      <w:pPr>
        <w:spacing w:before="0" w:after="120" w:line="360" w:lineRule="auto"/>
        <w:ind w:firstLine="720"/>
        <w:jc w:val="both"/>
      </w:pPr>
      <w:r>
        <w:rPr>
          <w:rFonts w:ascii="Times New Roman" w:hAnsi="Times New Roman" w:cs="Times New Roman"/>
          <w:rFonts w:ascii="Times New Roman" w:hAnsi="Times New Roman"/>
          <w:b w:val="0"/>
          <w:i w:val="0"/>
          <w:sz w:val="24"/>
        </w:rPr>
        <w:t>All search results were recorded in their order of appearance within the search ranking. For each content item, the following information was documented: platform, search term used, ranking position, URL or content identifier, creator name, creator type classification, content format, date of publication or last update, and engagement metrics (views, likes, shares, and comments where available). Screenshots were captured for each content item to establish an audit trail, supporting the verification and reliability of the assessment process.</w:t>
      </w:r>
    </w:p>
    <w:p>
      <w:pPr>
        <w:spacing w:before="160" w:after="120" w:line="360" w:lineRule="auto"/>
        <w:jc w:val="left"/>
      </w:pPr>
      <w:r>
        <w:rPr>
          <w:rFonts w:ascii="Times New Roman" w:hAnsi="Times New Roman" w:cs="Times New Roman"/>
          <w:rFonts w:ascii="Times New Roman" w:hAnsi="Times New Roman"/>
          <w:b/>
          <w:i w:val="0"/>
          <w:sz w:val="24"/>
        </w:rPr>
        <w:t>2.5.2 Quality Assessment Instruments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DISCERN Instrument. </w:t>
      </w:r>
      <w:r>
        <w:rPr>
          <w:rFonts w:ascii="Times New Roman" w:hAnsi="Times New Roman" w:cs="Times New Roman"/>
          <w:rFonts w:ascii="Times New Roman" w:hAnsi="Times New Roman"/>
          <w:b w:val="0"/>
          <w:i w:val="0"/>
          <w:sz w:val="24"/>
        </w:rPr>
        <w:t>The DISCERN instrument (Charnock et al., 1999) is a validated and widely used tool for assessing the quality of written consumer health information. The instrument comprises 16 items, each scored on a Likert-type scale ranging from 1 (definite no) to 5 (definite yes). The instrument is divided into three sections: Section 1 (Questions 1–8) evaluates the reliability of the publication, addressing whether the content has clear aims, achieves those aims, is relevant, identifies its sources, is balanced, and provides sufficient detail for decision-making. Section 2 (Questions 9–15) assesses the quality of information about treatment choices, including descriptions of how treatments work, their benefits, risks, effects on quality of life, and what would happen without treatment. Section 3 comprises a single item (Question 16) providing an overall quality rating. Total scores range from 16 to 80.</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purposes of the present study, DISCERN quality scores were categorised using the following established thresholds: Very Poor (16–26), Poor (27–38), Fair (39–50), Good (51–62), and Excellent (63–80). These categories facilitate meaningful interpretation and cross-study comparison of quality ratings. In adapting the instrument for social media content, questions pertaining to treatment information were interpreted in the context of exercise and physical activity recommendations, consistent with the approach adopted in prior studies examining fitness-related content (Kocyigit et al., 2024; Kong et al., 2024).</w:t>
      </w:r>
    </w:p>
    <w:p>
      <w:pPr>
        <w:spacing w:before="0" w:after="120" w:line="360" w:lineRule="auto"/>
        <w:ind w:firstLine="720"/>
        <w:jc w:val="both"/>
      </w:pPr>
      <w:r>
        <w:rPr>
          <w:rFonts w:ascii="Times New Roman" w:hAnsi="Times New Roman" w:cs="Times New Roman"/>
          <w:rFonts w:ascii="Times New Roman" w:hAnsi="Times New Roman"/>
          <w:b w:val="0"/>
          <w:i w:val="0"/>
          <w:sz w:val="24"/>
        </w:rPr>
        <w:t>Table 2.2 presents the complete DISCERN instrument with all 16 assessment questions.</w:t>
      </w:r>
    </w:p>
    <w:p>
      <w:pPr>
        <w:spacing w:before="240" w:after="0" w:line="360" w:lineRule="auto"/>
        <w:jc w:val="left"/>
      </w:pPr>
      <w:r>
        <w:rPr>
          <w:rFonts w:ascii="Times New Roman" w:hAnsi="Times New Roman" w:cs="Times New Roman"/>
          <w:rFonts w:ascii="Times New Roman" w:hAnsi="Times New Roman"/>
          <w:b/>
          <w:i w:val="0"/>
          <w:sz w:val="24"/>
        </w:rPr>
        <w:t>Table 2.2</w:t>
      </w:r>
    </w:p>
    <w:p>
      <w:pPr>
        <w:spacing w:before="0" w:after="120" w:line="360" w:lineRule="auto"/>
        <w:jc w:val="left"/>
      </w:pPr>
      <w:r>
        <w:rPr>
          <w:rFonts w:ascii="Times New Roman" w:hAnsi="Times New Roman" w:cs="Times New Roman"/>
          <w:rFonts w:ascii="Times New Roman" w:hAnsi="Times New Roman"/>
          <w:b w:val="0"/>
          <w:i/>
          <w:sz w:val="24"/>
        </w:rPr>
        <w:t>DISCERN Instrument Assessment Questions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850"/>
            <w:shd w:fill="D9E2F3"/>
          </w:tcPr>
          <w:p>
            <w:pPr>
              <w:spacing w:before="20" w:after="20" w:line="276" w:lineRule="auto"/>
              <w:jc w:val="center"/>
            </w:pPr>
            <w:r/>
            <w:r>
              <w:rPr>
                <w:rFonts w:ascii="Times New Roman" w:hAnsi="Times New Roman" w:cs="Times New Roman"/>
                <w:rFonts w:ascii="Times New Roman" w:hAnsi="Times New Roman"/>
                <w:b/>
                <w:i w:val="0"/>
                <w:sz w:val="20"/>
              </w:rPr>
              <w:t>Item</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20"/>
              </w:rPr>
              <w:t>Section</w:t>
            </w:r>
          </w:p>
        </w:tc>
        <w:tc>
          <w:tcPr>
            <w:tcW w:type="dxa" w:w="6236"/>
            <w:shd w:fill="D9E2F3"/>
          </w:tcPr>
          <w:p>
            <w:pPr>
              <w:spacing w:before="20" w:after="20" w:line="276" w:lineRule="auto"/>
              <w:jc w:val="center"/>
            </w:pPr>
            <w:r/>
            <w:r>
              <w:rPr>
                <w:rFonts w:ascii="Times New Roman" w:hAnsi="Times New Roman" w:cs="Times New Roman"/>
                <w:rFonts w:ascii="Times New Roman" w:hAnsi="Times New Roman"/>
                <w:b/>
                <w:i w:val="0"/>
                <w:sz w:val="20"/>
              </w:rPr>
              <w:t>Question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Are the aims clear?</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achieve its aims?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relevant?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what sources of information were used to compile the publication?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when the information used or reported in the publication was produced?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balanced and unbiased?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Q7</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details of additional sources of support and information?</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Q8</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1: Reliability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refer to areas of uncertainty?</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Q9</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how each treatment works?</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Q10</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benefits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Q11</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risks of each treatment?</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Q12</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what would happen if no treatment is used?</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Q13</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describe the effects of treatment choices on overall quality of life?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Q14</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Is it clear that there may be more than one possible treatment choice?</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Q15</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2: Treatment Quality</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Does it provide support for shared decision-making?</w:t>
            </w:r>
          </w:p>
        </w:tc>
      </w:tr>
      <w:tr>
        <w:tc>
          <w:tcPr>
            <w:tcW w:type="dxa" w:w="850"/>
          </w:tcPr>
          <w:p>
            <w:pPr>
              <w:spacing w:before="20" w:after="20" w:line="276" w:lineRule="auto"/>
              <w:jc w:val="center"/>
            </w:pPr>
            <w:r/>
            <w:r>
              <w:rPr>
                <w:rFonts w:ascii="Times New Roman" w:hAnsi="Times New Roman" w:cs="Times New Roman"/>
                <w:rFonts w:ascii="Times New Roman" w:hAnsi="Times New Roman"/>
                <w:b w:val="0"/>
                <w:i w:val="0"/>
                <w:sz w:val="20"/>
              </w:rPr>
              <w:t>Q16</w:t>
            </w:r>
          </w:p>
        </w:tc>
        <w:tc>
          <w:tcPr>
            <w:tcW w:type="dxa" w:w="1984"/>
          </w:tcPr>
          <w:p>
            <w:pPr>
              <w:spacing w:before="20" w:after="20" w:line="276" w:lineRule="auto"/>
              <w:jc w:val="center"/>
            </w:pPr>
            <w:r/>
            <w:r>
              <w:rPr>
                <w:rFonts w:ascii="Times New Roman" w:hAnsi="Times New Roman" w:cs="Times New Roman"/>
                <w:rFonts w:ascii="Times New Roman" w:hAnsi="Times New Roman"/>
                <w:b w:val="0"/>
                <w:i w:val="0"/>
                <w:sz w:val="20"/>
              </w:rPr>
              <w:t>3: Overall Rating</w:t>
            </w:r>
          </w:p>
        </w:tc>
        <w:tc>
          <w:tcPr>
            <w:tcW w:type="dxa" w:w="6236"/>
          </w:tcPr>
          <w:p>
            <w:pPr>
              <w:spacing w:before="20" w:after="20" w:line="276" w:lineRule="auto"/>
              <w:jc w:val="left"/>
            </w:pPr>
            <w:r/>
            <w:r>
              <w:rPr>
                <w:rFonts w:ascii="Times New Roman" w:hAnsi="Times New Roman" w:cs="Times New Roman"/>
                <w:rFonts w:ascii="Times New Roman" w:hAnsi="Times New Roman"/>
                <w:b w:val="0"/>
                <w:i w:val="0"/>
                <w:sz w:val="20"/>
              </w:rPr>
              <w:t>Based on the answers to all of the above questions, rate the overall quality of the publication.</w:t>
            </w:r>
          </w:p>
        </w:tc>
      </w:tr>
      <w:tr>
        <w:tc>
          <w:tcPr>
            <w:tcW w:type="dxa" w:w="850"/>
          </w:tcPr>
          <w:p/>
        </w:tc>
        <w:tc>
          <w:tcPr>
            <w:tcW w:type="dxa" w:w="1984"/>
          </w:tcPr>
          <w:p/>
        </w:tc>
        <w:tc>
          <w:tcPr>
            <w:tcW w:type="dxa" w:w="6236"/>
          </w:tcP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“DISCERN: An instrument for judging the quality of written consumer health information on treatment choices,” by D. Charnock, S. Shepperd, G. Needham, and R. Gann, 1999, Journal of Epidemiology &amp; Community Health, 53(2), 105–111. Each item is scored from 1 (definite no) to 5 (definite yes). For social media content, treatment-related questions (Q9–Q15) were interpreted as referring to exercise and physical activity recommendations.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JAMA Benchmarks. </w:t>
      </w:r>
      <w:r>
        <w:rPr>
          <w:rFonts w:ascii="Times New Roman" w:hAnsi="Times New Roman" w:cs="Times New Roman"/>
          <w:rFonts w:ascii="Times New Roman" w:hAnsi="Times New Roman"/>
          <w:b w:val="0"/>
          <w:i w:val="0"/>
          <w:sz w:val="24"/>
        </w:rPr>
        <w:t>The JAMA benchmarks (Silberg et al., 1997) provide a concise accountability framework for evaluating health information. The instrument assesses four criteria, each scored dichotomously as present (Y) or absent (N): (a) Authorship—whether authors and their credentials or affiliations are clearly identified; (b) Attribution—whether references and sources for content are cited; (c) Disclosure—whether sponsorship, advertising, conflicts of interest, or financial relationships are declared; and (d) Currency—whether the date of content creation or most recent update is provided. The total JAMA score ranges from 0 to 4, representing the number of criteria met.</w:t>
      </w:r>
    </w:p>
    <w:p>
      <w:pPr>
        <w:spacing w:before="0" w:after="120" w:line="360" w:lineRule="auto"/>
        <w:ind w:firstLine="720"/>
        <w:jc w:val="both"/>
      </w:pPr>
      <w:r>
        <w:rPr>
          <w:rFonts w:ascii="Times New Roman" w:hAnsi="Times New Roman" w:cs="Times New Roman"/>
          <w:rFonts w:ascii="Times New Roman" w:hAnsi="Times New Roman"/>
          <w:b w:val="0"/>
          <w:i w:val="0"/>
          <w:sz w:val="24"/>
        </w:rPr>
        <w:t>To apply the JAMA benchmarks to social media content, which differs substantially in format from traditional web-based health information, the criteria were operationalised as described in Table 2.3. This operationalisation draws on adaptations employed in prior research assessing social media health content (Delli et al., 2016; Kocyigit et al., 2024).</w:t>
      </w:r>
    </w:p>
    <w:p>
      <w:pPr>
        <w:spacing w:before="240" w:after="0" w:line="360" w:lineRule="auto"/>
        <w:jc w:val="left"/>
      </w:pPr>
      <w:r>
        <w:rPr>
          <w:rFonts w:ascii="Times New Roman" w:hAnsi="Times New Roman" w:cs="Times New Roman"/>
          <w:rFonts w:ascii="Times New Roman" w:hAnsi="Times New Roman"/>
          <w:b/>
          <w:i w:val="0"/>
          <w:sz w:val="24"/>
        </w:rPr>
        <w:t>Table 2.3</w:t>
      </w:r>
    </w:p>
    <w:p>
      <w:pPr>
        <w:spacing w:before="0" w:after="120" w:line="360" w:lineRule="auto"/>
        <w:jc w:val="left"/>
      </w:pPr>
      <w:r>
        <w:rPr>
          <w:rFonts w:ascii="Times New Roman" w:hAnsi="Times New Roman" w:cs="Times New Roman"/>
          <w:rFonts w:ascii="Times New Roman" w:hAnsi="Times New Roman"/>
          <w:b w:val="0"/>
          <w:i/>
          <w:sz w:val="24"/>
        </w:rPr>
        <w:t>JAMA Benchmarks Criteria and Social Media Operationalisation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9"/>
        <w:gridCol w:w="3009"/>
        <w:gridCol w:w="3009"/>
      </w:tblGrid>
      <w:tr>
        <w:tc>
          <w:tcPr>
            <w:tcW w:type="dxa" w:w="1417"/>
            <w:shd w:fill="D9E2F3"/>
          </w:tcPr>
          <w:p>
            <w:pPr>
              <w:spacing w:before="20" w:after="20" w:line="276" w:lineRule="auto"/>
              <w:jc w:val="center"/>
            </w:pPr>
            <w:r/>
            <w:r>
              <w:rPr>
                <w:rFonts w:ascii="Times New Roman" w:hAnsi="Times New Roman" w:cs="Times New Roman"/>
                <w:rFonts w:ascii="Times New Roman" w:hAnsi="Times New Roman"/>
                <w:b/>
                <w:i w:val="0"/>
                <w:sz w:val="20"/>
              </w:rPr>
              <w:t>Criterion</w:t>
            </w:r>
          </w:p>
        </w:tc>
        <w:tc>
          <w:tcPr>
            <w:tcW w:type="dxa" w:w="3118"/>
            <w:shd w:fill="D9E2F3"/>
          </w:tcPr>
          <w:p>
            <w:pPr>
              <w:spacing w:before="20" w:after="20" w:line="276" w:lineRule="auto"/>
              <w:jc w:val="center"/>
            </w:pPr>
            <w:r/>
            <w:r>
              <w:rPr>
                <w:rFonts w:ascii="Times New Roman" w:hAnsi="Times New Roman" w:cs="Times New Roman"/>
                <w:rFonts w:ascii="Times New Roman" w:hAnsi="Times New Roman"/>
                <w:b/>
                <w:i w:val="0"/>
                <w:sz w:val="20"/>
              </w:rPr>
              <w:t>Original Definition</w:t>
            </w:r>
          </w:p>
        </w:tc>
        <w:tc>
          <w:tcPr>
            <w:tcW w:type="dxa" w:w="4535"/>
            <w:shd w:fill="D9E2F3"/>
          </w:tcPr>
          <w:p>
            <w:pPr>
              <w:spacing w:before="20" w:after="20" w:line="276" w:lineRule="auto"/>
              <w:jc w:val="center"/>
            </w:pPr>
            <w:r/>
            <w:r>
              <w:rPr>
                <w:rFonts w:ascii="Times New Roman" w:hAnsi="Times New Roman" w:cs="Times New Roman"/>
                <w:rFonts w:ascii="Times New Roman" w:hAnsi="Times New Roman"/>
                <w:b/>
                <w:i w:val="0"/>
                <w:sz w:val="20"/>
              </w:rPr>
              <w:t>Social Media Operationalisation</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Authorship</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Authors and credentials/affiliations identified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Creator bio states professional credentials (e.g., MD, PT, CSCS) or account is a verified professional/organisational account</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Attribution</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References and sources for content are cited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cites scientific studies, clinical guidelines, or other sources in video, caption, description, or on-screen text references</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Disclosure</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Sponsorship, advertising, or conflicts of interest declared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Content discloses sponsorships, partnerships, or paid promotions (e.g., #ad, #sponsored, platform-provided paid partnership label)</w:t>
            </w:r>
          </w:p>
        </w:tc>
      </w:tr>
      <w:tr>
        <w:tc>
          <w:tcPr>
            <w:tcW w:type="dxa" w:w="1417"/>
          </w:tcPr>
          <w:p>
            <w:pPr>
              <w:spacing w:before="20" w:after="20" w:line="276" w:lineRule="auto"/>
              <w:jc w:val="center"/>
            </w:pPr>
            <w:r/>
            <w:r>
              <w:rPr>
                <w:rFonts w:ascii="Times New Roman" w:hAnsi="Times New Roman" w:cs="Times New Roman"/>
                <w:rFonts w:ascii="Times New Roman" w:hAnsi="Times New Roman"/>
                <w:b/>
                <w:i w:val="0"/>
                <w:sz w:val="20"/>
              </w:rPr>
              <w:t>Currency</w:t>
            </w:r>
          </w:p>
        </w:tc>
        <w:tc>
          <w:tcPr>
            <w:tcW w:type="dxa" w:w="3118"/>
          </w:tcPr>
          <w:p>
            <w:pPr>
              <w:spacing w:before="20" w:after="20" w:line="276" w:lineRule="auto"/>
              <w:jc w:val="left"/>
            </w:pPr>
            <w:r/>
            <w:r>
              <w:rPr>
                <w:rFonts w:ascii="Times New Roman" w:hAnsi="Times New Roman" w:cs="Times New Roman"/>
                <w:rFonts w:ascii="Times New Roman" w:hAnsi="Times New Roman"/>
                <w:b w:val="0"/>
                <w:i w:val="0"/>
                <w:sz w:val="20"/>
              </w:rPr>
              <w:t>Date of content creation or update provided</w:t>
            </w:r>
          </w:p>
        </w:tc>
        <w:tc>
          <w:tcPr>
            <w:tcW w:type="dxa" w:w="4535"/>
          </w:tcPr>
          <w:p>
            <w:pPr>
              <w:spacing w:before="20" w:after="20" w:line="276" w:lineRule="auto"/>
              <w:jc w:val="left"/>
            </w:pPr>
            <w:r/>
            <w:r>
              <w:rPr>
                <w:rFonts w:ascii="Times New Roman" w:hAnsi="Times New Roman" w:cs="Times New Roman"/>
                <w:rFonts w:ascii="Times New Roman" w:hAnsi="Times New Roman"/>
                <w:b w:val="0"/>
                <w:i w:val="0"/>
                <w:sz w:val="20"/>
              </w:rPr>
              <w:t>Post or publication date is visible (inherent feature of most social media platforms; for websites, date must be explicitly displayed)</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Adapted from “Assessing, controlling, and assuring the quality of medical information on the internet,” by W. M. Silberg, G. D. Lundberg, and R. A. Musacchio, 1997, JAMA, 277(15), 1244–1245. Each criterion is scored as present (Y) or absent (N). CSCS = Certified Strength and Conditioning Specialist; MD = Medical Doctor; PT = Physical Therapist.</w:t>
      </w:r>
    </w:p>
    <w:p>
      <w:pPr>
        <w:spacing w:before="160" w:after="120" w:line="360" w:lineRule="auto"/>
        <w:jc w:val="left"/>
      </w:pPr>
      <w:r>
        <w:rPr>
          <w:rFonts w:ascii="Times New Roman" w:hAnsi="Times New Roman" w:cs="Times New Roman"/>
          <w:rFonts w:ascii="Times New Roman" w:hAnsi="Times New Roman"/>
          <w:b/>
          <w:i w:val="0"/>
          <w:sz w:val="24"/>
        </w:rPr>
        <w:t>2.5.3 Additional Variables</w:t>
      </w:r>
    </w:p>
    <w:p>
      <w:pPr>
        <w:spacing w:before="0" w:after="120" w:line="360" w:lineRule="auto"/>
        <w:ind w:firstLine="720"/>
        <w:jc w:val="both"/>
      </w:pPr>
      <w:r>
        <w:rPr>
          <w:rFonts w:ascii="Times New Roman" w:hAnsi="Times New Roman" w:cs="Times New Roman"/>
          <w:rFonts w:ascii="Times New Roman" w:hAnsi="Times New Roman"/>
          <w:b w:val="0"/>
          <w:i w:val="0"/>
          <w:sz w:val="24"/>
        </w:rPr>
        <w:t>In addition to the primary quality assessment instruments, several supplementary variables were recorded for each content item to facilitate secondary analyses examining the moderating role of creator characteristics and content features on information quality.</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classification. </w:t>
      </w:r>
      <w:r>
        <w:rPr>
          <w:rFonts w:ascii="Times New Roman" w:hAnsi="Times New Roman" w:cs="Times New Roman"/>
          <w:rFonts w:ascii="Times New Roman" w:hAnsi="Times New Roman"/>
          <w:b w:val="0"/>
          <w:i w:val="0"/>
          <w:sz w:val="24"/>
        </w:rPr>
        <w:t>Each content creator was classified into one of five categories based on the information available in their profile, bio, and content: (a) Healthcare professional (e.g., physicians, physiotherapists, registered nurses), (b) Certified fitness professional (e.g., certified personal trainers, strength and conditioning specialists), (c) Fitness influencer (individuals with substantial followings who create fitness content without verified professional credentials), (d) General user (individuals without identifiable fitness or health credentials), and (e) Organisation (institutional accounts such as hospitals, health agencies, or fitness organisations). This classification scheme was developed based on typologies employed in prior research on health information creators (Kocyigit et al., 2024; Yurdaisik,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w:t>
      </w:r>
      <w:r>
        <w:rPr>
          <w:rFonts w:ascii="Times New Roman" w:hAnsi="Times New Roman" w:cs="Times New Roman"/>
          <w:rFonts w:ascii="Times New Roman" w:hAnsi="Times New Roman"/>
          <w:b w:val="0"/>
          <w:i w:val="0"/>
          <w:sz w:val="24"/>
        </w:rPr>
        <w:t>Where available, the following engagement metrics were recorded at the time of data collection: total views, likes (or equivalent reactions), shares, and comments. These metrics serve as indicators of content reach and audience interaction, enabling the examination of the relationship between content popularity and information quality (Osman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Content format. </w:t>
      </w:r>
      <w:r>
        <w:rPr>
          <w:rFonts w:ascii="Times New Roman" w:hAnsi="Times New Roman" w:cs="Times New Roman"/>
          <w:rFonts w:ascii="Times New Roman" w:hAnsi="Times New Roman"/>
          <w:b w:val="0"/>
          <w:i w:val="0"/>
          <w:sz w:val="24"/>
        </w:rPr>
        <w:t>Each content item was classified by format: (a) Text article (traditional websites), (b) Long-form video (&gt;5 minutes; primarily YouTube), (c) Short-form video (&lt;60 seconds; primarily TikTok and Instagram Reels), (d) Image with caption (primarily Instagram posts), and (e) Carousel (multi-image Instagram posts). This classification enables the examination of whether content format is associated with information quality.</w:t>
      </w:r>
    </w:p>
    <w:p>
      <w:pPr>
        <w:spacing w:before="240" w:after="120" w:line="360" w:lineRule="auto"/>
        <w:jc w:val="left"/>
      </w:pPr>
      <w:r>
        <w:rPr>
          <w:rFonts w:ascii="Times New Roman" w:hAnsi="Times New Roman" w:cs="Times New Roman"/>
          <w:rFonts w:ascii="Times New Roman" w:hAnsi="Times New Roman"/>
          <w:b/>
          <w:i w:val="0"/>
          <w:sz w:val="24"/>
        </w:rPr>
        <w:t>2.6 Research Organisation</w:t>
      </w:r>
    </w:p>
    <w:p>
      <w:pPr>
        <w:spacing w:before="0" w:after="120" w:line="360" w:lineRule="auto"/>
        <w:ind w:firstLine="720"/>
        <w:jc w:val="both"/>
      </w:pPr>
      <w:r>
        <w:rPr>
          <w:rFonts w:ascii="Times New Roman" w:hAnsi="Times New Roman" w:cs="Times New Roman"/>
          <w:rFonts w:ascii="Times New Roman" w:hAnsi="Times New Roman"/>
          <w:b w:val="0"/>
          <w:i w:val="0"/>
          <w:sz w:val="24"/>
        </w:rPr>
        <w:t>The study was conducted over a defined period from February to March 2026, with data collection completed within a concentrated two-day window to minimise temporal variation in search results and engagement metrics. The research process was organised into six sequential phases, as illustrated in Figure 2.1.</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1: Automated data collection (Day 1). </w:t>
      </w:r>
      <w:r>
        <w:rPr>
          <w:rFonts w:ascii="Times New Roman" w:hAnsi="Times New Roman" w:cs="Times New Roman"/>
          <w:rFonts w:ascii="Times New Roman" w:hAnsi="Times New Roman"/>
          <w:b w:val="0"/>
          <w:i w:val="0"/>
          <w:sz w:val="24"/>
        </w:rPr>
        <w:t>Playwright browser automation scripts were executed to collect search results from Google and YouTube. The scripts performed searches for all five search terms, captured the top 10 results per term, and recorded URLs, metadata, and screenshots.</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2: Manual data collection (Days 1–2). </w:t>
      </w:r>
      <w:r>
        <w:rPr>
          <w:rFonts w:ascii="Times New Roman" w:hAnsi="Times New Roman" w:cs="Times New Roman"/>
          <w:rFonts w:ascii="Times New Roman" w:hAnsi="Times New Roman"/>
          <w:b w:val="0"/>
          <w:i w:val="0"/>
          <w:sz w:val="24"/>
        </w:rPr>
        <w:t>The primary researcher manually collected search results from TikTok and Instagram using the platform-native search functions. Results were recorded in the same standardised format as the automated collection.</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3: Primary quality assessment. </w:t>
      </w:r>
      <w:r>
        <w:rPr>
          <w:rFonts w:ascii="Times New Roman" w:hAnsi="Times New Roman" w:cs="Times New Roman"/>
          <w:rFonts w:ascii="Times New Roman" w:hAnsi="Times New Roman"/>
          <w:b w:val="0"/>
          <w:i w:val="0"/>
          <w:sz w:val="24"/>
        </w:rPr>
        <w:t>The primary researcher assessed all 200 content items using both the DISCERN instrument and the JAMA benchmarks. Each content item was reviewed in its entirety, and scores were recorded in a structured data collection spreadsheet.</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4: Second rater assessment. </w:t>
      </w:r>
      <w:r>
        <w:rPr>
          <w:rFonts w:ascii="Times New Roman" w:hAnsi="Times New Roman" w:cs="Times New Roman"/>
          <w:rFonts w:ascii="Times New Roman" w:hAnsi="Times New Roman"/>
          <w:b w:val="0"/>
          <w:i w:val="0"/>
          <w:sz w:val="24"/>
        </w:rPr>
        <w:t>A trained second rater independently scored a 20% subsample of content items (n = 40; 10 randomly selected items per platform) using both instruments. The second rater was provided with the same scoring guidelines and training materials as the primary researcher to ensure standardised application of the assessment criteria.</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5: Inter-rater reliability assessment. </w:t>
      </w:r>
      <w:r>
        <w:rPr>
          <w:rFonts w:ascii="Times New Roman" w:hAnsi="Times New Roman" w:cs="Times New Roman"/>
          <w:rFonts w:ascii="Times New Roman" w:hAnsi="Times New Roman"/>
          <w:b w:val="0"/>
          <w:i w:val="0"/>
          <w:sz w:val="24"/>
        </w:rPr>
        <w:t>Agreement between the primary researcher and the second rater was evaluated using the Intraclass Correlation Coefficient (ICC) for DISCERN scores and Cohen’s kappa (κ) for JAMA criteria. These metrics are reported in the Results chapter.</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Phase 6: Statistical analysis. </w:t>
      </w:r>
      <w:r>
        <w:rPr>
          <w:rFonts w:ascii="Times New Roman" w:hAnsi="Times New Roman" w:cs="Times New Roman"/>
          <w:rFonts w:ascii="Times New Roman" w:hAnsi="Times New Roman"/>
          <w:b w:val="0"/>
          <w:i w:val="0"/>
          <w:sz w:val="24"/>
        </w:rPr>
        <w:t>Following the completion of quality assessments, all data were compiled and analysed using R statistical software, as detailed in Section 2.7.</w:t>
      </w:r>
    </w:p>
    <w:p>
      <w:pPr>
        <w:spacing w:before="120" w:after="0" w:line="360" w:lineRule="auto"/>
        <w:jc w:val="both"/>
      </w:pPr>
      <w:r>
        <w:rPr>
          <w:rFonts w:ascii="Times New Roman" w:hAnsi="Times New Roman" w:cs="Times New Roman"/>
          <w:rFonts w:ascii="Times New Roman" w:hAnsi="Times New Roman"/>
          <w:b w:val="0"/>
          <w:i w:val="0"/>
          <w:sz w:val="24"/>
        </w:rPr>
      </w:r>
    </w:p>
    <w:p>
      <w:pPr>
        <w:spacing w:before="240" w:after="0" w:line="360" w:lineRule="auto"/>
        <w:jc w:val="center"/>
      </w:pPr>
      <w:r>
        <w:rPr>
          <w:rFonts w:ascii="Times New Roman" w:hAnsi="Times New Roman" w:cs="Times New Roman"/>
          <w:rFonts w:ascii="Times New Roman" w:hAnsi="Times New Roman"/>
          <w:b/>
          <w:i w:val="0"/>
          <w:sz w:val="24"/>
        </w:rPr>
        <w:t>Figure 2.1</w:t>
      </w:r>
    </w:p>
    <w:p>
      <w:pPr>
        <w:spacing w:before="0" w:after="120" w:line="360" w:lineRule="auto"/>
        <w:jc w:val="center"/>
      </w:pPr>
      <w:r>
        <w:rPr>
          <w:rFonts w:ascii="Times New Roman" w:hAnsi="Times New Roman" w:cs="Times New Roman"/>
          <w:rFonts w:ascii="Times New Roman" w:hAnsi="Times New Roman"/>
          <w:b w:val="0"/>
          <w:i/>
          <w:sz w:val="24"/>
        </w:rPr>
        <w:t>Flow Diagram of the Research Process</w:t>
      </w:r>
    </w:p>
    <w:tbl>
      <w:tblPr>
        <w:tblW w:type="auto" w:w="0"/>
        <w:jc w:val="center"/>
        <w:tblLook w:firstColumn="1" w:firstRow="1" w:lastColumn="0" w:lastRow="0" w:noHBand="0" w:noVBand="1" w:val="04A0"/>
      </w:tblPr>
      <w:tblGrid>
        <w:gridCol w:w="9026"/>
      </w:tblGrid>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1: Automated Data Collection</w:t>
              <w:br/>
              <w:t>(Google &amp; YouTube via Playwright – Day 1)</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2: Manual Data Collection</w:t>
              <w:br/>
              <w:t>(TikTok &amp; Instagram – Days 1–2)</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3: Primary DISCERN &amp; JAMA Assessment</w:t>
              <w:br/>
              <w:t>(N = 200 content items)</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4: Second Rater Assessment</w:t>
              <w:br/>
              <w:t>(20% subsample, n = 40)</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5: Inter-Rater Reliability</w:t>
              <w:br/>
              <w:t>(ICC for DISCERN; Cohen’s κ for JAMA)</w:t>
            </w:r>
          </w:p>
        </w:tc>
      </w:tr>
      <w:tr>
        <w:tc>
          <w:tcPr>
            <w:tcW w:type="dxa" w:w="5669"/>
            <w:tcBorders>
              <w:top w:val="none" w:sz="0" w:space="0" w:color="FFFFFF"/>
              <w:bottom w:val="none" w:sz="0" w:space="0" w:color="FFFFFF"/>
              <w:left w:val="none" w:sz="0" w:space="0" w:color="FFFFFF"/>
              <w:right w:val="none" w:sz="0" w:space="0" w:color="FFFFFF"/>
            </w:tcBorders>
          </w:tcPr>
          <w:p>
            <w:pPr>
              <w:jc w:val="center"/>
            </w:pPr>
            <w:r/>
            <w:r>
              <w:rPr>
                <w:rFonts w:ascii="Times New Roman" w:hAnsi="Times New Roman" w:cs="Times New Roman"/>
                <w:rFonts w:ascii="Times New Roman" w:hAnsi="Times New Roman"/>
                <w:b/>
                <w:i w:val="0"/>
                <w:sz w:val="28"/>
              </w:rPr>
              <w:t>↓</w:t>
            </w:r>
          </w:p>
        </w:tc>
      </w:tr>
      <w:tr>
        <w:tc>
          <w:tcPr>
            <w:tcW w:type="dxa" w:w="5669"/>
            <w:tcBorders>
              <w:top w:val="single" w:sz="8" w:space="0" w:color="000000"/>
              <w:bottom w:val="single" w:sz="8" w:space="0" w:color="000000"/>
              <w:left w:val="single" w:sz="8" w:space="0" w:color="000000"/>
              <w:right w:val="single" w:sz="8" w:space="0" w:color="000000"/>
            </w:tcBorders>
          </w:tcPr>
          <w:p>
            <w:pPr>
              <w:jc w:val="center"/>
            </w:pPr>
            <w:r/>
            <w:r>
              <w:rPr>
                <w:rFonts w:ascii="Times New Roman" w:hAnsi="Times New Roman" w:cs="Times New Roman"/>
                <w:rFonts w:ascii="Times New Roman" w:hAnsi="Times New Roman"/>
                <w:b w:val="0"/>
                <w:i w:val="0"/>
                <w:sz w:val="20"/>
              </w:rPr>
              <w:t>Phase 6: Statistical Analysis</w:t>
              <w:br/>
              <w:t>(R statistical environment)</w:t>
            </w:r>
          </w:p>
        </w:tc>
      </w:tr>
    </w:tbl>
    <w:p>
      <w:pPr>
        <w:spacing w:before="60" w:after="240" w:line="240" w:lineRule="auto"/>
        <w:jc w:val="center"/>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The research process proceeded sequentially through six phases over the study period (February–March 2026).</w:t>
      </w:r>
    </w:p>
    <w:p>
      <w:pPr>
        <w:spacing w:before="160" w:after="120" w:line="360" w:lineRule="auto"/>
        <w:jc w:val="left"/>
      </w:pPr>
      <w:r>
        <w:rPr>
          <w:rFonts w:ascii="Times New Roman" w:hAnsi="Times New Roman" w:cs="Times New Roman"/>
          <w:rFonts w:ascii="Times New Roman" w:hAnsi="Times New Roman"/>
          <w:b/>
          <w:i w:val="0"/>
          <w:sz w:val="24"/>
        </w:rPr>
        <w:t>2.6.1 Ethical Considerations</w:t>
      </w:r>
    </w:p>
    <w:p>
      <w:pPr>
        <w:spacing w:before="0" w:after="120" w:line="360" w:lineRule="auto"/>
        <w:ind w:firstLine="720"/>
        <w:jc w:val="both"/>
      </w:pPr>
      <w:r>
        <w:rPr>
          <w:rFonts w:ascii="Times New Roman" w:hAnsi="Times New Roman" w:cs="Times New Roman"/>
          <w:rFonts w:ascii="Times New Roman" w:hAnsi="Times New Roman"/>
          <w:b w:val="0"/>
          <w:i w:val="0"/>
          <w:sz w:val="24"/>
        </w:rPr>
        <w:t>The present study does not involve human subjects, as all data were derived from publicly available online content. Consequently, formal ethics committee approval was not required, consistent with standard practice for content analyses of publicly accessible materials (Snelson, 2016). No personal data of content creators were collected beyond publicly displayed profile information relevant to the creator type classification. All content was accessed through standard public-facing interfaces, and no private or restricted materials were accessed at any point during the data collection process.</w:t>
      </w:r>
    </w:p>
    <w:p>
      <w:pPr>
        <w:spacing w:before="240" w:after="120" w:line="360" w:lineRule="auto"/>
        <w:jc w:val="left"/>
      </w:pPr>
      <w:r>
        <w:rPr>
          <w:rFonts w:ascii="Times New Roman" w:hAnsi="Times New Roman" w:cs="Times New Roman"/>
          <w:rFonts w:ascii="Times New Roman" w:hAnsi="Times New Roman"/>
          <w:b/>
          <w:i w:val="0"/>
          <w:sz w:val="24"/>
        </w:rPr>
        <w:t>2.7 Methods of Statistical Analysis</w:t>
      </w:r>
    </w:p>
    <w:p>
      <w:pPr>
        <w:spacing w:before="0" w:after="120" w:line="360" w:lineRule="auto"/>
        <w:ind w:firstLine="720"/>
        <w:jc w:val="both"/>
      </w:pPr>
      <w:r>
        <w:rPr>
          <w:rFonts w:ascii="Times New Roman" w:hAnsi="Times New Roman" w:cs="Times New Roman"/>
          <w:rFonts w:ascii="Times New Roman" w:hAnsi="Times New Roman"/>
          <w:b w:val="0"/>
          <w:i w:val="0"/>
          <w:sz w:val="24"/>
        </w:rPr>
        <w:t>All statistical analyses were conducted using the R statistical environment (R Core Team, 2024) with the following packages: tidyverse for data manipulation and visualisation (Wickham et al., 2019), FSA and dunn.test for non-parametric post-hoc comparisons (Ogle et al., 2023; Dinno, 2017), irr for inter-rater reliability calculations (Gamer et al., 2019), DescTools for effect size computations (Signorell, 2024), and ggplot2 for publication-quality graphical representations (Wickham, 2016). The significance level was set at α = 0.05 for all inferential tests.</w:t>
      </w:r>
    </w:p>
    <w:p>
      <w:pPr>
        <w:spacing w:before="160" w:after="120" w:line="360" w:lineRule="auto"/>
        <w:jc w:val="left"/>
      </w:pPr>
      <w:r>
        <w:rPr>
          <w:rFonts w:ascii="Times New Roman" w:hAnsi="Times New Roman" w:cs="Times New Roman"/>
          <w:rFonts w:ascii="Times New Roman" w:hAnsi="Times New Roman"/>
          <w:b/>
          <w:i w:val="0"/>
          <w:sz w:val="24"/>
        </w:rPr>
        <w:t>2.7.1 Descriptive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Descriptive statistics were employed to characterise the distribution of quality scores across platforms and content categories. For DISCERN total scores, the median, interquartile range (IQR), and range were reported for each platform, as ordinal Likert-type data are best represented by median-based measures of central tendency (Sullivan &amp; Artino, 2013). For JAMA benchmarks, frequencies and percentages of compliance for each criterion were calculated per platform, along with overall JAMA score distributions.</w:t>
      </w:r>
    </w:p>
    <w:p>
      <w:pPr>
        <w:spacing w:before="160" w:after="120" w:line="360" w:lineRule="auto"/>
        <w:jc w:val="left"/>
      </w:pPr>
      <w:r>
        <w:rPr>
          <w:rFonts w:ascii="Times New Roman" w:hAnsi="Times New Roman" w:cs="Times New Roman"/>
          <w:rFonts w:ascii="Times New Roman" w:hAnsi="Times New Roman"/>
          <w:b/>
          <w:i w:val="0"/>
          <w:sz w:val="24"/>
        </w:rPr>
        <w:t>2.7.2 Inter-Rater Reliability</w:t>
      </w:r>
    </w:p>
    <w:p>
      <w:pPr>
        <w:spacing w:before="0" w:after="120" w:line="360" w:lineRule="auto"/>
        <w:ind w:firstLine="720"/>
        <w:jc w:val="both"/>
      </w:pPr>
      <w:r>
        <w:rPr>
          <w:rFonts w:ascii="Times New Roman" w:hAnsi="Times New Roman" w:cs="Times New Roman"/>
          <w:rFonts w:ascii="Times New Roman" w:hAnsi="Times New Roman"/>
          <w:b w:val="0"/>
          <w:i w:val="0"/>
          <w:sz w:val="24"/>
        </w:rPr>
        <w:t>Inter-rater reliability was assessed for the 20% subsample (n = 40) independently scored by both the primary researcher and the second rater. For DISCERN total scores, the Intraclass Correlation Coefficient (ICC) was calculated using a two-way mixed-effects model, single measures, with absolute agreement (ICC[3,1]; Koo &amp; Li, 2016). ICC values were interpreted according to established guidelines: values less than 0.50 indicate poor reliability, 0.50–0.75 indicate moderate reliability, 0.75–0.90 indicate good reliability, and values greater than 0.90 indicate excellent reliability (Koo &amp; Li, 2016).</w:t>
      </w:r>
    </w:p>
    <w:p>
      <w:pPr>
        <w:spacing w:before="0" w:after="120" w:line="360" w:lineRule="auto"/>
        <w:ind w:firstLine="720"/>
        <w:jc w:val="both"/>
      </w:pPr>
      <w:r>
        <w:rPr>
          <w:rFonts w:ascii="Times New Roman" w:hAnsi="Times New Roman" w:cs="Times New Roman"/>
          <w:rFonts w:ascii="Times New Roman" w:hAnsi="Times New Roman"/>
          <w:b w:val="0"/>
          <w:i w:val="0"/>
          <w:sz w:val="24"/>
        </w:rPr>
        <w:t>For the JAMA benchmark criteria, which are scored dichotomously (present/absent), Cohen’s kappa (κ) was calculated for each criterion. Kappa values were interpreted using the guidelines proposed by Landis and Koch (1977): values below 0.20 indicate slight agreement, 0.21–0.40 indicate fair agreement, 0.41–0.60 indicate moderate agreement, 0.61–0.80 indicate substantial agreement, and values above 0.80 indicate almost perfect agreement.</w:t>
      </w:r>
    </w:p>
    <w:p>
      <w:pPr>
        <w:spacing w:before="160" w:after="120" w:line="360" w:lineRule="auto"/>
        <w:jc w:val="left"/>
      </w:pPr>
      <w:r>
        <w:rPr>
          <w:rFonts w:ascii="Times New Roman" w:hAnsi="Times New Roman" w:cs="Times New Roman"/>
          <w:rFonts w:ascii="Times New Roman" w:hAnsi="Times New Roman"/>
          <w:b/>
          <w:i w:val="0"/>
          <w:sz w:val="24"/>
        </w:rPr>
        <w:t>2.7.3 Inferential Statistics</w:t>
      </w:r>
    </w:p>
    <w:p>
      <w:pPr>
        <w:spacing w:before="0" w:after="120" w:line="360" w:lineRule="auto"/>
        <w:ind w:firstLine="720"/>
        <w:jc w:val="both"/>
      </w:pPr>
      <w:r>
        <w:rPr>
          <w:rFonts w:ascii="Times New Roman" w:hAnsi="Times New Roman" w:cs="Times New Roman"/>
          <w:rFonts w:ascii="Times New Roman" w:hAnsi="Times New Roman"/>
          <w:b w:val="0"/>
          <w:i w:val="0"/>
          <w:sz w:val="24"/>
        </w:rPr>
        <w:t>Non-parametric statistical tests were selected as the primary inferential methods due to the ordinal nature of DISCERN scores and the anticipated non-normal distribution of quality data, consistent with methodological recommendations for health information quality research (Naaman et al., 2022).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DISCERN scores. </w:t>
      </w:r>
      <w:r>
        <w:rPr>
          <w:rFonts w:ascii="Times New Roman" w:hAnsi="Times New Roman" w:cs="Times New Roman"/>
          <w:rFonts w:ascii="Times New Roman" w:hAnsi="Times New Roman"/>
          <w:b w:val="0"/>
          <w:i w:val="0"/>
          <w:sz w:val="24"/>
        </w:rPr>
        <w:t>The Kruskal-Wallis H test was employed to examine whether DISCERN total scores differed significantly across the four platforms (Google, YouTube, TikTok, and Instagram). When a statistically significant omnibus result was obtained, Dunn’s post-hoc test with Bonferroni correction was applied to identify which specific platform pairs differed significantly. The effect size was quantified using epsilon-squared (ε²), where values of 0.01, 0.06, and 0.14 correspond to small, medium, and large effects, respectively (Tomczak &amp; Tomczak, 2014).</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Platform comparisons of JAMA compliance. </w:t>
      </w:r>
      <w:r>
        <w:rPr>
          <w:rFonts w:ascii="Times New Roman" w:hAnsi="Times New Roman" w:cs="Times New Roman"/>
          <w:rFonts w:ascii="Times New Roman" w:hAnsi="Times New Roman"/>
          <w:b w:val="0"/>
          <w:i w:val="0"/>
          <w:sz w:val="24"/>
        </w:rPr>
        <w:t>The chi-square test of independence was used to assess whether the proportion of content meeting each JAMA criterion differed across platforms. Where expected cell frequencies fell below 5, Fisher’s exact test was employed as an alternative. The effect size was reported as Cramér’s V, interpreted according to Cohen’s (1988) guidelines: values of 0.10, 0.30, and 0.50 represent small, medium, and large effects for tables with three degrees of freedom.</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Creator type and quality scores. </w:t>
      </w:r>
      <w:r>
        <w:rPr>
          <w:rFonts w:ascii="Times New Roman" w:hAnsi="Times New Roman" w:cs="Times New Roman"/>
          <w:rFonts w:ascii="Times New Roman" w:hAnsi="Times New Roman"/>
          <w:b w:val="0"/>
          <w:i w:val="0"/>
          <w:sz w:val="24"/>
        </w:rPr>
        <w:t>To investigate whether creator type moderates information quality, DISCERN scores were compared between professional creators (healthcare professionals and certified fitness professionals combined) and non-professional creators (fitness influencers and general users combined) using the Mann-Whitney U test. The effect size was reported as rank-biserial correlation (r</w:t>
      </w:r>
      <w:r>
        <w:rPr>
          <w:rFonts w:ascii="Times New Roman" w:hAnsi="Times New Roman" w:cs="Times New Roman"/>
          <w:rFonts w:ascii="Times New Roman" w:hAnsi="Times New Roman"/>
          <w:b w:val="0"/>
          <w:i/>
          <w:sz w:val="24"/>
        </w:rPr>
        <w:t>rb</w:t>
      </w:r>
      <w:r>
        <w:rPr>
          <w:rFonts w:ascii="Times New Roman" w:hAnsi="Times New Roman" w:cs="Times New Roman"/>
          <w:rFonts w:ascii="Times New Roman" w:hAnsi="Times New Roman"/>
          <w:b w:val="0"/>
          <w:i w:val="0"/>
          <w:sz w:val="24"/>
        </w:rPr>
        <w:t>), where values of 0.10, 0.30, and 0.50 correspond to small, medium, and large effects (Fritz et al., 2012).</w:t>
      </w:r>
    </w:p>
    <w:p>
      <w:pPr>
        <w:spacing w:before="0" w:after="120" w:line="360" w:lineRule="auto"/>
        <w:ind w:firstLine="720"/>
        <w:jc w:val="both"/>
      </w:pPr>
      <w:r>
        <w:rPr>
          <w:rFonts w:ascii="Times New Roman" w:hAnsi="Times New Roman" w:cs="Times New Roman"/>
          <w:rFonts w:ascii="Times New Roman" w:hAnsi="Times New Roman"/>
          <w:b/>
          <w:i w:val="0"/>
          <w:sz w:val="24"/>
        </w:rPr>
        <w:t xml:space="preserve">Engagement metrics and information quality. </w:t>
      </w:r>
      <w:r>
        <w:rPr>
          <w:rFonts w:ascii="Times New Roman" w:hAnsi="Times New Roman" w:cs="Times New Roman"/>
          <w:rFonts w:ascii="Times New Roman" w:hAnsi="Times New Roman"/>
          <w:b w:val="0"/>
          <w:i w:val="0"/>
          <w:sz w:val="24"/>
        </w:rPr>
        <w:t>Spearman’s rank correlation coefficient (ρ) was calculated to examine the relationship between engagement metrics (views, likes, shares) and DISCERN total scores. This non-parametric correlation was selected due to the highly skewed distribution typically observed in engagement data and the ordinal nature of DISCERN scores. Correlation strength was interpreted as: ρ &lt; 0.10 negligible, 0.10–0.39 weak, 0.40–0.69 moderate, and ≥ 0.70 strong (Schober et al., 2018).</w:t>
      </w:r>
    </w:p>
    <w:p>
      <w:pPr>
        <w:spacing w:before="0" w:after="120" w:line="360" w:lineRule="auto"/>
        <w:ind w:firstLine="720"/>
        <w:jc w:val="both"/>
      </w:pPr>
      <w:r>
        <w:rPr>
          <w:rFonts w:ascii="Times New Roman" w:hAnsi="Times New Roman" w:cs="Times New Roman"/>
          <w:rFonts w:ascii="Times New Roman" w:hAnsi="Times New Roman"/>
          <w:b w:val="0"/>
          <w:i w:val="0"/>
          <w:sz w:val="24"/>
        </w:rPr>
        <w:t>Table 2.4 provides a summary of the statistical analysis plan, linking each research question to the corresponding variables, statistical tests, and rationale for test selection.</w:t>
      </w:r>
    </w:p>
    <w:p>
      <w:pPr>
        <w:spacing w:before="240" w:after="0" w:line="360" w:lineRule="auto"/>
        <w:jc w:val="left"/>
      </w:pPr>
      <w:r>
        <w:rPr>
          <w:rFonts w:ascii="Times New Roman" w:hAnsi="Times New Roman" w:cs="Times New Roman"/>
          <w:rFonts w:ascii="Times New Roman" w:hAnsi="Times New Roman"/>
          <w:b/>
          <w:i w:val="0"/>
          <w:sz w:val="24"/>
        </w:rPr>
        <w:t>Table 2.4</w:t>
      </w:r>
    </w:p>
    <w:p>
      <w:pPr>
        <w:spacing w:before="0" w:after="120" w:line="360" w:lineRule="auto"/>
        <w:jc w:val="left"/>
      </w:pPr>
      <w:r>
        <w:rPr>
          <w:rFonts w:ascii="Times New Roman" w:hAnsi="Times New Roman" w:cs="Times New Roman"/>
          <w:rFonts w:ascii="Times New Roman" w:hAnsi="Times New Roman"/>
          <w:b w:val="0"/>
          <w:i/>
          <w:sz w:val="24"/>
        </w:rPr>
        <w:t>Summary of Statistical Analysis Plan by Research Question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6"/>
        <w:gridCol w:w="2256"/>
        <w:gridCol w:w="2256"/>
        <w:gridCol w:w="2256"/>
      </w:tblGrid>
      <w:tr>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Research Question</w:t>
            </w:r>
          </w:p>
        </w:tc>
        <w:tc>
          <w:tcPr>
            <w:tcW w:type="dxa" w:w="1984"/>
            <w:shd w:fill="D9E2F3"/>
          </w:tcPr>
          <w:p>
            <w:pPr>
              <w:spacing w:before="20" w:after="20" w:line="276" w:lineRule="auto"/>
              <w:jc w:val="center"/>
            </w:pPr>
            <w:r/>
            <w:r>
              <w:rPr>
                <w:rFonts w:ascii="Times New Roman" w:hAnsi="Times New Roman" w:cs="Times New Roman"/>
                <w:rFonts w:ascii="Times New Roman" w:hAnsi="Times New Roman"/>
                <w:b/>
                <w:i w:val="0"/>
                <w:sz w:val="18"/>
              </w:rPr>
              <w:t>Variables</w:t>
            </w:r>
          </w:p>
        </w:tc>
        <w:tc>
          <w:tcPr>
            <w:tcW w:type="dxa" w:w="2551"/>
            <w:shd w:fill="D9E2F3"/>
          </w:tcPr>
          <w:p>
            <w:pPr>
              <w:spacing w:before="20" w:after="20" w:line="276" w:lineRule="auto"/>
              <w:jc w:val="center"/>
            </w:pPr>
            <w:r/>
            <w:r>
              <w:rPr>
                <w:rFonts w:ascii="Times New Roman" w:hAnsi="Times New Roman" w:cs="Times New Roman"/>
                <w:rFonts w:ascii="Times New Roman" w:hAnsi="Times New Roman"/>
                <w:b/>
                <w:i w:val="0"/>
                <w:sz w:val="18"/>
              </w:rPr>
              <w:t>Statistical Test</w:t>
            </w:r>
          </w:p>
        </w:tc>
        <w:tc>
          <w:tcPr>
            <w:tcW w:type="dxa" w:w="2268"/>
            <w:shd w:fill="D9E2F3"/>
          </w:tcPr>
          <w:p>
            <w:pPr>
              <w:spacing w:before="20" w:after="20" w:line="276" w:lineRule="auto"/>
              <w:jc w:val="center"/>
            </w:pPr>
            <w:r/>
            <w:r>
              <w:rPr>
                <w:rFonts w:ascii="Times New Roman" w:hAnsi="Times New Roman" w:cs="Times New Roman"/>
                <w:rFonts w:ascii="Times New Roman" w:hAnsi="Times New Roman"/>
                <w:b/>
                <w:i w:val="0"/>
                <w:sz w:val="18"/>
              </w:rPr>
              <w:t>Rationale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RQ1: How does PA information quality differ between traditional websites and social media?</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Platform (4 levels)</w:t>
              <w:br/>
              <w:t>DV: DISCERN total score; JAMA criteria compliance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Kruskal-Wallis H test (DISCERN)</w:t>
              <w:br/>
              <w:t>Dunn’s post-hoc with Bonferroni</w:t>
              <w:br/>
              <w:t>χ² / Fisher’s exact test (JAMA)</w:t>
              <w:br/>
              <w:t>Effect sizes: ε², Cramér’s V</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ordinal DISCERN data likely non-normally distributed. Chi-square appropriate for categorical JAMA data.</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RQ2: Does creator type moderate quality scores?</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IV: Creator type (professional vs. non-professional)</w:t>
              <w:br/>
              <w:t>DV: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Mann-Whitney U test</w:t>
              <w:br/>
              <w:t>Effect size: rank-biserial correlation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comparison of two independent groups with ordinal outcome variable.</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RQ3: What is the relationship between engagement metrics and quality?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Predictor: Views, likes, shares</w:t>
              <w:br/>
              <w:t>Outcome: DISCERN total score</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Spearman’s rank correlation (ρ)</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Non-parametric correlation appropriate for skewed engagement data and ordinal quality scores.</w:t>
            </w:r>
          </w:p>
        </w:tc>
      </w:tr>
      <w:tr>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Inter-rater reliability</w:t>
            </w:r>
          </w:p>
        </w:tc>
        <w:tc>
          <w:tcPr>
            <w:tcW w:type="dxa" w:w="1984"/>
          </w:tcPr>
          <w:p>
            <w:pPr>
              <w:spacing w:before="20" w:after="20" w:line="276" w:lineRule="auto"/>
              <w:jc w:val="left"/>
            </w:pPr>
            <w:r/>
            <w:r>
              <w:rPr>
                <w:rFonts w:ascii="Times New Roman" w:hAnsi="Times New Roman" w:cs="Times New Roman"/>
                <w:rFonts w:ascii="Times New Roman" w:hAnsi="Times New Roman"/>
                <w:b w:val="0"/>
                <w:i w:val="0"/>
                <w:sz w:val="18"/>
              </w:rPr>
              <w:t>Rater 1 vs. Rater 2 scores</w:t>
              <w:br/>
              <w:t>(20% subsample, n = 40)</w:t>
            </w:r>
          </w:p>
        </w:tc>
        <w:tc>
          <w:tcPr>
            <w:tcW w:type="dxa" w:w="2551"/>
          </w:tcPr>
          <w:p>
            <w:pPr>
              <w:spacing w:before="20" w:after="20" w:line="276" w:lineRule="auto"/>
              <w:jc w:val="left"/>
            </w:pPr>
            <w:r/>
            <w:r>
              <w:rPr>
                <w:rFonts w:ascii="Times New Roman" w:hAnsi="Times New Roman" w:cs="Times New Roman"/>
                <w:rFonts w:ascii="Times New Roman" w:hAnsi="Times New Roman"/>
                <w:b w:val="0"/>
                <w:i w:val="0"/>
                <w:sz w:val="18"/>
              </w:rPr>
              <w:t>ICC (two-way mixed, single measures, absolute agreement) for DISCERN</w:t>
              <w:br/>
              <w:t>Cohen’s κ for each JAMA criterion</w:t>
            </w:r>
          </w:p>
        </w:tc>
        <w:tc>
          <w:tcPr>
            <w:tcW w:type="dxa" w:w="2268"/>
          </w:tcPr>
          <w:p>
            <w:pPr>
              <w:spacing w:before="20" w:after="20" w:line="276" w:lineRule="auto"/>
              <w:jc w:val="left"/>
            </w:pPr>
            <w:r/>
            <w:r>
              <w:rPr>
                <w:rFonts w:ascii="Times New Roman" w:hAnsi="Times New Roman" w:cs="Times New Roman"/>
                <w:rFonts w:ascii="Times New Roman" w:hAnsi="Times New Roman"/>
                <w:b w:val="0"/>
                <w:i w:val="0"/>
                <w:sz w:val="18"/>
              </w:rPr>
              <w:t>ICC suitable for continuous/ordinal data; κ appropriate for dichotomous categorical data.</w:t>
            </w:r>
          </w:p>
        </w:tc>
      </w:tr>
    </w:tbl>
    <w:p>
      <w:pPr>
        <w:spacing w:before="60" w:after="240" w:line="240" w:lineRule="auto"/>
      </w:pPr>
      <w:r>
        <w:rPr>
          <w:rFonts w:ascii="Times New Roman" w:hAnsi="Times New Roman" w:cs="Times New Roman"/>
          <w:rFonts w:ascii="Times New Roman" w:hAnsi="Times New Roman"/>
          <w:b w:val="0"/>
          <w:i/>
          <w:sz w:val="20"/>
        </w:rPr>
        <w:t xml:space="preserve">Note. </w:t>
      </w:r>
      <w:r>
        <w:rPr>
          <w:rFonts w:ascii="Times New Roman" w:hAnsi="Times New Roman" w:cs="Times New Roman"/>
          <w:rFonts w:ascii="Times New Roman" w:hAnsi="Times New Roman"/>
          <w:b w:val="0"/>
          <w:i w:val="0"/>
          <w:sz w:val="20"/>
        </w:rPr>
        <w:t>IV = independent variable; DV = dependent variable; PA = physical activity; ICC = Intraclass Correlation Coefficient; ε² = epsilon-squared; χ² = chi-square; κ = kappa; ρ = Spearman’s rho. Significance level: α = 0.05 for all tests.</w:t>
      </w:r>
    </w:p>
    <w:p>
      <w:pPr>
        <w:spacing w:before="120" w:after="120" w:line="360" w:lineRule="auto"/>
        <w:ind w:firstLine="720"/>
        <w:jc w:val="both"/>
      </w:pPr>
      <w:r>
        <w:rPr>
          <w:rFonts w:ascii="Times New Roman" w:hAnsi="Times New Roman" w:cs="Times New Roman"/>
          <w:rFonts w:ascii="Times New Roman" w:hAnsi="Times New Roman"/>
          <w:b w:val="0"/>
          <w:i w:val="0"/>
          <w:sz w:val="24"/>
        </w:rPr>
        <w:t>In summary, the methodological approach described in this chapter was designed to provide a rigorous, transparent, and replicable framework for evaluating the quality of physical activity information across four major digital platforms. The combination of the DISCERN instrument and JAMA benchmarks offers a comprehensive assessment of both substantive information quality and accountability standards. The use of non-parametric statistical methods is appropriate given the ordinal nature of the primary outcome measures, and the inclusion of inter-rater reliability assessment ensures the credibility of the quality ratings. The results of the analyses described herein are presented in Chapter 3.</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jc w:val="both"/>
    </w:pPr>
    <w:rPr>
      <w:rFonts w:ascii="Times New Roman" w:hAnsi="Times New Roman" w:cs="Times New Roman"/>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