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frameworksâ€”the DISCERN instrument and JAMA benchmarksâ€”to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t>â€¢ Sample: 197 content items across four platforms (50 websites, 50 YouTube videos, 47 TikTok videos, and 50 Instagram posts).</w:t>
      </w:r>
    </w:p>
    <w:p>
      <w:pPr>
        <w:spacing w:before="0" w:after="40" w:line="360" w:lineRule="auto"/>
        <w:ind w:left="720"/>
        <w:jc w:val="both"/>
      </w:pPr>
      <w:r>
        <w:rPr>
          <w:rFonts w:ascii="Times New Roman" w:hAnsi="Times New Roman" w:cs="Times New Roman"/>
          <w:rFonts w:ascii="Times New Roman" w:hAnsi="Times New Roman"/>
          <w:b/>
          <w:i w:val="0"/>
          <w:sz w:val="24"/>
        </w:rPr>
        <w:t xml:space="preserve">â€¢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â€¢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â€¢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â€¢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197 content items collected from four digital platforms: traditional websites accessed through Google search (n = 50), YouTube (n = 50), TikTok (n = 47), and Instagram (n = 50). This sample size was determined based on precedent in health information quality research, where samples of 40â€“60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â€¢ â€œHow to start exercisingâ€</w:t>
      </w:r>
    </w:p>
    <w:p>
      <w:pPr>
        <w:spacing w:before="0" w:after="40" w:line="360" w:lineRule="auto"/>
        <w:ind w:left="720"/>
        <w:jc w:val="left"/>
      </w:pPr>
      <w:r>
        <w:rPr>
          <w:rFonts w:ascii="Times New Roman" w:hAnsi="Times New Roman" w:cs="Times New Roman"/>
          <w:rFonts w:ascii="Times New Roman" w:hAnsi="Times New Roman"/>
          <w:b w:val="0"/>
          <w:i w:val="0"/>
          <w:sz w:val="24"/>
        </w:rPr>
        <w:t>â€¢ â€œBest exercises to lose weightâ€</w:t>
      </w:r>
    </w:p>
    <w:p>
      <w:pPr>
        <w:spacing w:before="0" w:after="40" w:line="360" w:lineRule="auto"/>
        <w:ind w:left="720"/>
        <w:jc w:val="left"/>
      </w:pPr>
      <w:r>
        <w:rPr>
          <w:rFonts w:ascii="Times New Roman" w:hAnsi="Times New Roman" w:cs="Times New Roman"/>
          <w:rFonts w:ascii="Times New Roman" w:hAnsi="Times New Roman"/>
          <w:b w:val="0"/>
          <w:i w:val="0"/>
          <w:sz w:val="24"/>
        </w:rPr>
        <w:t>â€¢ â€œStrength training for beginnersâ€</w:t>
      </w:r>
    </w:p>
    <w:p>
      <w:pPr>
        <w:spacing w:before="0" w:after="40" w:line="360" w:lineRule="auto"/>
        <w:ind w:left="720"/>
        <w:jc w:val="left"/>
      </w:pPr>
      <w:r>
        <w:rPr>
          <w:rFonts w:ascii="Times New Roman" w:hAnsi="Times New Roman" w:cs="Times New Roman"/>
          <w:rFonts w:ascii="Times New Roman" w:hAnsi="Times New Roman"/>
          <w:b w:val="0"/>
          <w:i w:val="0"/>
          <w:sz w:val="24"/>
        </w:rPr>
        <w:t>â€¢ â€œPhysical activity guidelinesâ€</w:t>
      </w:r>
    </w:p>
    <w:p>
      <w:pPr>
        <w:spacing w:before="0" w:after="40" w:line="360" w:lineRule="auto"/>
        <w:ind w:left="720"/>
        <w:jc w:val="left"/>
      </w:pPr>
      <w:r>
        <w:rPr>
          <w:rFonts w:ascii="Times New Roman" w:hAnsi="Times New Roman" w:cs="Times New Roman"/>
          <w:rFonts w:ascii="Times New Roman" w:hAnsi="Times New Roman"/>
          <w:b w:val="0"/>
          <w:i w:val="0"/>
          <w:sz w:val="24"/>
        </w:rPr>
        <w:t>â€¢ â€œHome workout routineâ€</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Ã— 5 search terms Ã—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(1â€“2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browserâ€™s language was set to English (United States) and geolocation was configured to Kaunas, Lithuania, the researcherâ€™s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â€˜Allâ€™ results tab; sponsored results and advertisements were excluded. For YouTube, searches were conducted on youtube.com using the default â€˜Relevanceâ€™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platformsâ€™ implementation of anti-bot measures that prevent reliable browser automation. TikTok searches used the in-app â€˜Topâ€™ tab; Instagram searches used the â€˜Tagsâ€™ and â€˜Topâ€™ tabs. The primary researcher manually searched each term within the platformâ€™s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1â€“8) evaluates the reliability of the publication, addressing whether the content has clear aims, achieves those aims, is relevant, identifies its sources, is balanced, and provides sufficient detail for decision-making. Section 2 (Questions 9â€“15)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(16â€“26), Poor (27â€“38), Fair (39â€“50), Good (51â€“62), and Excellent (63â€“80).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2019; Kong et al., 2021).</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â€œDISCERN: An instrument for judging the quality of written consumer health information on treatment choices,â€ by D. Charnock, S. Shepperd, G. Needham, and R. Gann, 1999, Journal of Epidemiology &amp; Community Health, 53(2), 105â€“111. Each item is scored from 1 (definite no) to 5 (definite yes). For social media content, treatment-related questions (Q9â€“Q15)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Authorshipâ€”whether authors and their credentials or affiliations are clearly identified; (b) Attributionâ€”whether references and sources for content are cited; (c) Disclosureâ€”whether sponsorship, advertising, conflicts of interest, or financial relationships are declared; and (d) Currencyâ€”whether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â€œAssessing, controlling, and assuring the quality of medical information on the internet,â€ by W. M. Silberg, G. D. Lundberg, and R. A. Musacchio, 1997, JAMA, 277(15), 1244â€“1245.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1â€“2).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Pilot scoring. </w:t>
      </w:r>
      <w:r>
        <w:rPr>
          <w:rFonts w:ascii="Times New Roman" w:hAnsi="Times New Roman" w:cs="Times New Roman"/>
          <w:rFonts w:ascii="Times New Roman" w:hAnsi="Times New Roman"/>
          <w:b w:val="0"/>
          <w:i w:val="0"/>
          <w:sz w:val="24"/>
        </w:rPr>
        <w:t>Prior to the full assessment, the primary researcher conducted a pilot scoring exercise on 10 content items (2â€“3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inference from visual and verbal cues rather than explicit textual statements. Scoring rules were refined accordingly: for Q4, on-screen citation of sources or verbal references to guidelines were accepted; for Q11, any mention of injury risk, contraindications, or the advice to consult a professional was scored positively. These pilot-derived rules were documented in the scoring guide and applied consistently across the final 197-item sample.</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197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raterâ€”a fellow Master of Public Health student with prior coursework in epidemiology and health communicationâ€”independently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final sample) with discussion of discrepancies. The second rater was then provided with the same scoring guidelines, quick-reference card, and worked examples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Cohenâ€™s kappa (Îº)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â€“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â€“ Days 1â€“2)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Cohenâ€™s Îº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â†“</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(Februaryâ€“March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Kruskalâ€“Wallis, Mannâ€“Whitney U, chi-square, and Spearman correlations, scikit-posthocs (Terpilowski, 2019) for Dunnâ€™s post-hoc comparisons with Bonferroni correction, pingouin (Vallat, 2018) for intraclass correlation coefficient computation, and matplotlib/seaborn for publication-quality graphical representations. The significance level was set at Î±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0.50â€“0.75 indicate moderate reliability, 0.75â€“0.90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Cohenâ€™s kappa (Îº) was calculated for each criterion. Kappa values were interpreted using the guidelines proposed by Landis and Koch (1977): values below 0.20 indicate slight agreement, 0.21â€“0.40 indicate fair agreement, 0.41â€“0.60 indicate moderate agreement, 0.61â€“0.80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Dunnâ€™s post-hoc test with Bonferroni correction was applied to identify which specific platform pairs differed significantly. The effect size was quantified using eta-squared (Î·Â²), computed as Î·Â² = (H âˆ’ k + 1) / (N âˆ’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Fisherâ€™s exact test was employed as an alternative. The effect size was reported as CramÃ©râ€™s V, interpreted according to Cohenâ€™s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entitiesâ€”from government health departments to commercial fitness brandsâ€”making uniform professional classification inappropriate.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Spearmanâ€™s rank correlation coefficient (Ï)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Ï &lt; 0.10 negligible, 0.10â€“0.39 weak, 0.40â€“0.69 moderate, and â‰¥ 0.70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Dunnâ€™s post-hoc with Bonferroni</w:t>
              <w:br/>
              <w:t>Ï‡Â² / Fisherâ€™s exact test (JAMA)</w:t>
              <w:br/>
              <w:t>Effect sizes: Î·Â², CramÃ©râ€™s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Spearmanâ€™s rank correlation (Ï)</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Cohenâ€™s Îº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Îº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Î·Â² = eta-squared (approximation); Ï‡Â² = chi-square; Îº = kappa; Ï = Spearmanâ€™s rho. Significance level: Î±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