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creator type influences information quality in a graded fashion, with credentialed professionals producing measurably higher-quality content.</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pStyle w:val="Heading1"/>
        <w:spacing w:line="360" w:lineRule="auto" w:after="240" w:before="0"/>
        <w:jc w:val="both"/>
      </w:pPr>
      <w:r>
        <w:rPr>
          <w:rFonts w:ascii="Times New Roman" w:hAnsi="Times New Roman" w:cs="Times New Roman"/>
          <w:b/>
          <w:i w:val="0"/>
          <w:color w:val="000000"/>
          <w:sz w:val="28"/>
        </w:rPr>
        <w:t>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warrants urgent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pStyle w:val="Heading2"/>
        <w:spacing w:line="360" w:lineRule="auto" w:after="200" w:before="0"/>
        <w:jc w:val="both"/>
      </w:pPr>
      <w:r>
        <w:rPr>
          <w:rFonts w:ascii="Times New Roman" w:hAnsi="Times New Roman" w:cs="Times New Roman"/>
          <w:b/>
          <w:i w:val="0"/>
          <w:color w:val="000000"/>
          <w:sz w:val="26"/>
        </w:rPr>
        <w:t>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quality assessments.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significant negative views–quality and likes–quality correlations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