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APPENDIX D: STATISTICAL ANALYSIS CODE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 complete statistical analysis was conducted using Python 3.13 with the following packages: pandas, scipy, pingouin, matplotlib, and seaborn. The full analysis script (run_analysis.py) is available in the project repository. Key analysis functions are summarised below.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D.1 Software Environment</w:t>
      </w:r>
    </w:p>
    <w:p>
      <w:pPr>
        <w:pStyle w:val="ListBullet"/>
      </w:pPr>
      <w:r>
        <w:rPr>
          <w:rFonts w:ascii="Times New Roman" w:hAnsi="Times New Roman"/>
          <w:sz w:val="24"/>
        </w:rPr>
        <w:t>Python 3.13</w:t>
      </w:r>
    </w:p>
    <w:p>
      <w:pPr>
        <w:pStyle w:val="ListBullet"/>
      </w:pPr>
      <w:r>
        <w:rPr>
          <w:rFonts w:ascii="Times New Roman" w:hAnsi="Times New Roman"/>
          <w:sz w:val="24"/>
        </w:rPr>
        <w:t>pandas 2.2.x — data manipulation</w:t>
      </w:r>
    </w:p>
    <w:p>
      <w:pPr>
        <w:pStyle w:val="ListBullet"/>
      </w:pPr>
      <w:r>
        <w:rPr>
          <w:rFonts w:ascii="Times New Roman" w:hAnsi="Times New Roman"/>
          <w:sz w:val="24"/>
        </w:rPr>
        <w:t>scipy 1.14.x — Kruskal-Wallis H, Mann-Whitney U, Chi-square, Spearman correlation</w:t>
      </w:r>
    </w:p>
    <w:p>
      <w:pPr>
        <w:pStyle w:val="ListBullet"/>
      </w:pPr>
      <w:r>
        <w:rPr>
          <w:rFonts w:ascii="Times New Roman" w:hAnsi="Times New Roman"/>
          <w:sz w:val="24"/>
        </w:rPr>
        <w:t>pingouin 0.5.x — Intraclass Correlation Coefficient (ICC)</w:t>
      </w:r>
    </w:p>
    <w:p>
      <w:pPr>
        <w:pStyle w:val="ListBullet"/>
      </w:pPr>
      <w:r>
        <w:rPr>
          <w:rFonts w:ascii="Times New Roman" w:hAnsi="Times New Roman"/>
          <w:sz w:val="24"/>
        </w:rPr>
        <w:t>matplotlib 3.9.x + seaborn 0.13.x — figure generation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D.2 Key Statistical Tests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Inter-rater reliability. </w:t>
      </w:r>
      <w:r>
        <w:rPr>
          <w:rFonts w:ascii="Times New Roman" w:hAnsi="Times New Roman"/>
          <w:sz w:val="24"/>
        </w:rPr>
        <w:t>ICC(3,1) computed via pingouin.intraclass_corr() for DISCERN total scores. Cohen’s kappa calculated manually for binary JAMA criteria using observed vs. expected agreement.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Platform comparisons (DISCERN). </w:t>
      </w:r>
      <w:r>
        <w:rPr>
          <w:rFonts w:ascii="Times New Roman" w:hAnsi="Times New Roman"/>
          <w:sz w:val="24"/>
        </w:rPr>
        <w:t>Kruskal-Wallis H test (scipy.stats.kruskal) followed by Mann–Whitney U pairwise comparisons with Bonferroni correction. The Kruskal-Wallis omnibus effect size was computed as (H − k + 1) / (N − k), where H is the Kruskal-Wallis statistic, k the number of groups, and N the total sample size (Tomczak &amp; Tomczak, 2014). Pairwise effect sizes were reported as rank-biserial correlation r.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Platform comparisons (JAMA). </w:t>
      </w:r>
      <w:r>
        <w:rPr>
          <w:rFonts w:ascii="Times New Roman" w:hAnsi="Times New Roman"/>
          <w:sz w:val="24"/>
        </w:rPr>
        <w:t>Chi-square test of independence (scipy.stats.chi2_contingency) for each JAMA criterion. Fisher’s exact test used when expected cell counts &lt; 5. Effect size reported as Cramér’s V.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Creator type analysis. </w:t>
      </w:r>
      <w:r>
        <w:rPr>
          <w:rFonts w:ascii="Times New Roman" w:hAnsi="Times New Roman"/>
          <w:sz w:val="24"/>
        </w:rPr>
        <w:t>Mann-Whitney U test (scipy.stats.mannwhitneyu) comparing professional vs. non-professional creators. Effect size: r = Z / sqrt(N).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Engagement-quality correlations. </w:t>
      </w:r>
      <w:r>
        <w:rPr>
          <w:rFonts w:ascii="Times New Roman" w:hAnsi="Times New Roman"/>
          <w:sz w:val="24"/>
        </w:rPr>
        <w:t>Spearman’s rank correlation (scipy.stats.spearmanr) between engagement metrics and DISCERN total, both overall and stratified by platform.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D.3 Reproducibility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All data, scripts, and analysis outputs are maintained in a version-controlled Git repository available at https://github.com/ayothedoc3/masters-thesis (accessed 25 March 2026). The repository snapshot current at the time of submission contains the materials supporting the submitted thesis. The complete analysis can be reproduced by running: python analysis/run_analysis.py from the project root directory. The final audited input files are data/csv/master_dataset_corrected.csv and data/csv/second_rater_scores.csv. The script normalises common content-format label variants before analysis and writes all output files (figures, tables, and analysis_report.txt) to analysis/output/.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