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pStyle w:val="Heading2"/>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pStyle w:val="Heading2"/>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Targeted sample of 200 content items across four platforms; final audited analytical sample of 197 items after three unverifiable TikTok records were excluded.</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pPr>
        <w:pStyle w:val="Heading2"/>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pStyle w:val="Heading2"/>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post-collection audit, three TikTok records could not be verified against the raw captures and were excluded without replacement, yielding a final analytical sample of 197 items (50 websites, 50 YouTube videos, 47 TikTok videos, and 50 Instagram posts).</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who predominantly access the first page or highest-ranked results (Pan et al., 2007). After the audit exclusions described above, the final analytical sample comprised 197 items.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sampling frame. During the later audit, three TikTok records lacked verifiable raw-source support and were therefore removed without replacement.</w:t>
      </w:r>
    </w:p>
    <w:p>
      <w:pPr>
        <w:spacing w:before="0" w:after="120" w:line="360" w:lineRule="auto"/>
        <w:ind w:firstLine="720"/>
        <w:jc w:val="both"/>
      </w:pPr>
      <w:r>
        <w:rPr>
          <w:rFonts w:ascii="Times New Roman" w:hAnsi="Times New Roman" w:cs="Times New Roman"/>
          <w:rFonts w:ascii="Times New Roman" w:hAnsi="Times New Roman"/>
          <w:b w:val="0"/>
          <w:i w:val="0"/>
          <w:sz w:val="24"/>
        </w:rPr>
        <w:t>Accordingly, Table 2.1 should be interpreted as the planned sampling matrix rather than the final audited analytical distribution. All inferential analyses reported in Chapters 3–5 and the appendices are based on the final audited dataset of 197 items.</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Planned Sampling Matrix: Target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targeted number of content items per search term per platform. Planned collection frame N = 200; final audited analytical sample N = 197 after three TikTok exclusions.</w:t>
      </w:r>
    </w:p>
    <w:p>
      <w:pPr>
        <w:pStyle w:val="Heading2"/>
        <w:spacing w:before="240" w:after="120" w:line="360" w:lineRule="auto"/>
        <w:jc w:val="left"/>
      </w:pPr>
      <w:r>
        <w:rPr>
          <w:rFonts w:ascii="Times New Roman" w:hAnsi="Times New Roman" w:cs="Times New Roman"/>
          <w:rFonts w:ascii="Times New Roman" w:hAnsi="Times New Roman"/>
          <w:b/>
          <w:i w:val="0"/>
          <w:sz w:val="24"/>
        </w:rPr>
        <w:t>2.5 Research Methods</w:t>
      </w:r>
    </w:p>
    <w:p>
      <w:pPr>
        <w:pStyle w:val="Heading3"/>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personalisation.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pStyle w:val="Heading3"/>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the conservative lower score was retained.</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pStyle w:val="Heading3"/>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pStyle w:val="Heading2"/>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Pilot scoring. </w:t>
      </w:r>
      <w:r>
        <w:rPr>
          <w:rFonts w:ascii="Times New Roman" w:hAnsi="Times New Roman" w:cs="Times New Roman"/>
          <w:rFonts w:ascii="Times New Roman" w:hAnsi="Times New Roman"/>
          <w:b w:val="0"/>
          <w:i w:val="0"/>
          <w:sz w:val="24"/>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(Final audited N = 197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matplotlib/seaborn)</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pStyle w:val="Heading3"/>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pPr>
        <w:pStyle w:val="Heading2"/>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pStyle w:val="Heading3"/>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pStyle w:val="Heading3"/>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pStyle w:val="Heading3"/>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 rank-based effect-size estimate to avoid terminological ambiguity. This value should be interpreted cautiously as an index of distributional separation rather than a literal proportion of explained variance;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Pairwise Mann-Whitney U with Bonferroni</w:t>
              <w:br/>
              <w:t>χ² / Fisher’s exact test (JAMA)</w:t>
              <w:br/>
              <w:t>Effect sizes: rank-based H effect,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