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4. DISCUSSION</w:t>
      </w:r>
    </w:p>
    <w:p>
      <w:pPr>
        <w:spacing w:before="0" w:after="120" w:line="360" w:lineRule="auto"/>
        <w:ind w:firstLine="709"/>
        <w:jc w:val="both"/>
      </w:pPr>
      <w:r>
        <w:rPr>
          <w:rFonts w:ascii="Times New Roman" w:hAnsi="Times New Roman" w:cs="Times New Roman"/>
          <w:rFonts w:ascii="Times New Roman" w:hAnsi="Times New Roman"/>
          <w:b w:val="0"/>
          <w:i w:val="0"/>
          <w:sz w:val="24"/>
        </w:rPr>
        <w:t>This chapter interprets the principal findings of the cross-sectional content analysis in light of existing literature, evaluates the study's methodological strengths and limitations, and outlines implications for public health practice and future research. The overarching aim was to determine whether the quality of physical activity (PA) information differs across traditional websites, YouTube, TikTok, and Instagram when assessed with the DISCERN instrument and JAMA benchmarks, and whether creator type and audience engagement moderate that quality.</w:t>
      </w:r>
    </w:p>
    <w:p>
      <w:pPr>
        <w:spacing w:before="240" w:after="120" w:line="360" w:lineRule="auto"/>
        <w:jc w:val="left"/>
      </w:pPr>
      <w:r>
        <w:rPr>
          <w:rFonts w:ascii="Times New Roman" w:hAnsi="Times New Roman" w:cs="Times New Roman"/>
          <w:rFonts w:ascii="Times New Roman" w:hAnsi="Times New Roman"/>
          <w:b/>
          <w:i w:val="0"/>
          <w:sz w:val="24"/>
        </w:rPr>
        <w:t>4.1 Summary of Key Findings</w:t>
      </w:r>
    </w:p>
    <w:p>
      <w:pPr>
        <w:spacing w:before="0" w:after="120" w:line="360" w:lineRule="auto"/>
        <w:ind w:firstLine="709"/>
        <w:jc w:val="both"/>
      </w:pPr>
      <w:r>
        <w:rPr>
          <w:rFonts w:ascii="Times New Roman" w:hAnsi="Times New Roman" w:cs="Times New Roman"/>
          <w:rFonts w:ascii="Times New Roman" w:hAnsi="Times New Roman"/>
          <w:b w:val="0"/>
          <w:i w:val="0"/>
          <w:sz w:val="24"/>
        </w:rPr>
        <w:t>Three principal findings emerged from the analysis of 200 items across four platforms. First, a clear and statistically significant quality gradient was observed: traditional websites produced the highest DISCERN scores (Mdn = 48, classified as fair-to-good), followed by YouTube (Mdn = 39, fair-to-poor), TikTok (Mdn = 31, poor), and Instagram (Mdn = 21, very poor). The Kruskal-Wallis test confirmed this pattern, H(3) = 136.58, p &lt; .001, with a large effect size (η² = .68), and all six pairwise comparisons reached statistical significance after Bonferroni correction. This gradient suggests that platform architecture—particularly the space available for textual detail, referencing, and authorship disclosure—plays a decisive role in the completeness and reliability of health content.</w:t>
      </w:r>
    </w:p>
    <w:p>
      <w:pPr>
        <w:spacing w:before="0" w:after="120" w:line="360" w:lineRule="auto"/>
        <w:ind w:firstLine="709"/>
        <w:jc w:val="both"/>
      </w:pPr>
      <w:r>
        <w:rPr>
          <w:rFonts w:ascii="Times New Roman" w:hAnsi="Times New Roman" w:cs="Times New Roman"/>
          <w:rFonts w:ascii="Times New Roman" w:hAnsi="Times New Roman"/>
          <w:b w:val="0"/>
          <w:i w:val="0"/>
          <w:sz w:val="24"/>
        </w:rPr>
        <w:t>Second, creator type significantly moderated DISCERN scores, with healthcare and certified fitness professionals scoring higher (Mdn = 39.5) than non-professional creators (Mdn = 35.0; Mann-Whitney U, p = .033). However, the effect was small (r = −.204), indicating that professional credentials alone do not guarantee high-quality output. Notably, organisations dominated the traditional website space (78% of website items), whereas fitness influencers and general users were the predominant creators on YouTube and TikTok. This distributional imbalance partly explains the platform quality gradient, as the platforms with the lowest scores were also those with the fewest professionally credentialed authors.</w:t>
      </w:r>
    </w:p>
    <w:p>
      <w:pPr>
        <w:spacing w:before="0" w:after="120" w:line="360" w:lineRule="auto"/>
        <w:ind w:firstLine="709"/>
        <w:jc w:val="both"/>
      </w:pPr>
      <w:r>
        <w:rPr>
          <w:rFonts w:ascii="Times New Roman" w:hAnsi="Times New Roman" w:cs="Times New Roman"/>
          <w:rFonts w:ascii="Times New Roman" w:hAnsi="Times New Roman"/>
          <w:b w:val="0"/>
          <w:i w:val="0"/>
          <w:sz w:val="24"/>
        </w:rPr>
        <w:t>Third, engagement metrics bore virtually no relationship to information quality. The overall Spearman correlation between views and DISCERN total was negligible (ρ = .017). Platform-specific analyses revealed a negative correlation on YouTube (higher view counts associated with lower quality) and, unexpectedly, a positive correlation on TikTok. These divergent patterns suggest that algorithmic recommendation systems reward different content attributes on each platform, none of which appear to be information accuracy or completeness.</w:t>
      </w:r>
    </w:p>
    <w:p>
      <w:pPr>
        <w:spacing w:before="0" w:after="120" w:line="360" w:lineRule="auto"/>
        <w:ind w:firstLine="709"/>
        <w:jc w:val="both"/>
      </w:pPr>
      <w:r>
        <w:rPr>
          <w:rFonts w:ascii="Times New Roman" w:hAnsi="Times New Roman" w:cs="Times New Roman"/>
          <w:rFonts w:ascii="Times New Roman" w:hAnsi="Times New Roman"/>
          <w:b w:val="0"/>
          <w:i w:val="0"/>
          <w:sz w:val="24"/>
        </w:rPr>
        <w:t>Regarding JAMA benchmark compliance, the overall JAMA Total score did not differ significantly across platforms (p = .143). However, analysis of individual JAMA criteria revealed significant differences for Attribution (χ², p &lt; .001), Disclosure (p = .001), and Currency (p &lt; .001). Social media posts almost universally met the Currency criterion because post dates are inherently visible, yet they performed poorly on Attribution and Disclosure. This pattern highlights a structural transparency gap: social media platforms do not incentivise or facilitate source citation or conflict-of-interest disclosure in the way that editorial standards do for traditional web publishing.</w:t>
      </w:r>
    </w:p>
    <w:p>
      <w:pPr>
        <w:spacing w:before="240" w:after="120" w:line="360" w:lineRule="auto"/>
        <w:jc w:val="left"/>
      </w:pPr>
      <w:r>
        <w:rPr>
          <w:rFonts w:ascii="Times New Roman" w:hAnsi="Times New Roman" w:cs="Times New Roman"/>
          <w:rFonts w:ascii="Times New Roman" w:hAnsi="Times New Roman"/>
          <w:b/>
          <w:i w:val="0"/>
          <w:sz w:val="24"/>
        </w:rPr>
        <w:t>4.2 Comparison with Existing Literature</w:t>
      </w:r>
    </w:p>
    <w:p>
      <w:pPr>
        <w:spacing w:before="0" w:after="120" w:line="360" w:lineRule="auto"/>
        <w:ind w:firstLine="709"/>
        <w:jc w:val="both"/>
      </w:pPr>
      <w:r>
        <w:rPr>
          <w:rFonts w:ascii="Times New Roman" w:hAnsi="Times New Roman" w:cs="Times New Roman"/>
          <w:rFonts w:ascii="Times New Roman" w:hAnsi="Times New Roman"/>
          <w:b w:val="0"/>
          <w:i w:val="0"/>
          <w:sz w:val="24"/>
        </w:rPr>
        <w:t>The quality gradient observed in this study is broadly consistent with earlier work on online health information. The overall mean DISCERN score of 36.3 out of 80 aligns closely with the pooled estimate from the 2025 JMIR meta-analysis, which reported a DISCERN score of approximately 43.58 out of 100 (equivalent to roughly 34.9 on an 80-point scale) across diverse health topics (I² = 93.22%). That our sample slightly exceeded this benchmark is encouraging, but it also underscores that even the best-performing platform—traditional websites—only reached the lower boundary of the “good” category. This finding resonates with Eysenbach's (2002) foundational observation that health information quality on the internet is highly variable, a conclusion that remains valid more than two decades later.</w:t>
      </w:r>
    </w:p>
    <w:p>
      <w:pPr>
        <w:spacing w:before="0" w:after="120" w:line="360" w:lineRule="auto"/>
        <w:ind w:firstLine="709"/>
        <w:jc w:val="both"/>
      </w:pPr>
      <w:r>
        <w:rPr>
          <w:rFonts w:ascii="Times New Roman" w:hAnsi="Times New Roman" w:cs="Times New Roman"/>
          <w:rFonts w:ascii="Times New Roman" w:hAnsi="Times New Roman"/>
          <w:b w:val="0"/>
          <w:i w:val="0"/>
          <w:sz w:val="24"/>
        </w:rPr>
        <w:t>The particularly low scores for Instagram and TikTok mirror findings from recent platform-specific studies. De Moel-Mandel et al. (2025) reported that only 10% of TikTok health content was created by medical professionals; in the present study, 16% of TikTok items were attributed to healthcare professionals, a marginally higher proportion that may reflect the growing visibility of health professionals on short-video platforms. Nevertheless, this modest professional presence was insufficient to lift TikTok's overall quality above the “poor” threshold. On JAMA compliance, Haghighi and Farhadloo (2025) found that 81% of health-related Twitter content was of low quality and 95% met two or fewer of the four JAMA criteria. Our social media data follow the same pattern, with the majority of TikTok and Instagram items failing to meet Attribution and Disclosure criteria.</w:t>
      </w:r>
    </w:p>
    <w:p>
      <w:pPr>
        <w:spacing w:before="0" w:after="120" w:line="360" w:lineRule="auto"/>
        <w:ind w:firstLine="709"/>
        <w:jc w:val="both"/>
      </w:pPr>
      <w:r>
        <w:rPr>
          <w:rFonts w:ascii="Times New Roman" w:hAnsi="Times New Roman" w:cs="Times New Roman"/>
          <w:rFonts w:ascii="Times New Roman" w:hAnsi="Times New Roman"/>
          <w:b w:val="0"/>
          <w:i w:val="0"/>
          <w:sz w:val="24"/>
        </w:rPr>
        <w:t>The negligible correlation between engagement and quality extends findings by Kbaier et al. (2024), who documented how social media algorithms can amplify health misinformation. Our observation that YouTube exhibited a negative engagement-quality relationship supports the hypothesis that algorithmically promoted content on video platforms prioritises entertainment value and emotional appeal over informational rigour (Moorhead et al., 2013). Conversely, the unexpected positive correlation on TikTok may be an artefact of a small number of high-engagement professional accounts; this result should be interpreted cautiously and warrants replication.</w:t>
      </w:r>
    </w:p>
    <w:p>
      <w:pPr>
        <w:spacing w:before="0" w:after="120" w:line="360" w:lineRule="auto"/>
        <w:ind w:firstLine="709"/>
        <w:jc w:val="both"/>
      </w:pPr>
      <w:r>
        <w:rPr>
          <w:rFonts w:ascii="Times New Roman" w:hAnsi="Times New Roman" w:cs="Times New Roman"/>
          <w:rFonts w:ascii="Times New Roman" w:hAnsi="Times New Roman"/>
          <w:b w:val="0"/>
          <w:i w:val="0"/>
          <w:sz w:val="24"/>
        </w:rPr>
        <w:t>The finding that creator type moderates quality—albeit with a small effect—parallels evidence from the broader health literacy literature. Norman and Skinner (2006) argued that both provider-side and consumer-side competencies shape the quality of digital health exchanges. The present data suggest that provider-side credentialing is a necessary but not sufficient condition for high-quality content: professional creators still frequently omitted references and disclosure statements, particularly when operating within the formatting constraints of social media posts. This implies that platform design, not just author expertise, constrains the extent to which accountability criteria can be fulfilled.</w:t>
      </w:r>
    </w:p>
    <w:p>
      <w:pPr>
        <w:spacing w:before="240" w:after="120" w:line="360" w:lineRule="auto"/>
        <w:jc w:val="left"/>
      </w:pPr>
      <w:r>
        <w:rPr>
          <w:rFonts w:ascii="Times New Roman" w:hAnsi="Times New Roman" w:cs="Times New Roman"/>
          <w:rFonts w:ascii="Times New Roman" w:hAnsi="Times New Roman"/>
          <w:b/>
          <w:i w:val="0"/>
          <w:sz w:val="24"/>
        </w:rPr>
        <w:t>4.3 Implications for Public Health Practice</w:t>
      </w:r>
    </w:p>
    <w:p>
      <w:pPr>
        <w:spacing w:before="0" w:after="120" w:line="360" w:lineRule="auto"/>
        <w:ind w:firstLine="709"/>
        <w:jc w:val="both"/>
      </w:pPr>
      <w:r>
        <w:rPr>
          <w:rFonts w:ascii="Times New Roman" w:hAnsi="Times New Roman" w:cs="Times New Roman"/>
          <w:rFonts w:ascii="Times New Roman" w:hAnsi="Times New Roman"/>
          <w:b w:val="0"/>
          <w:i w:val="0"/>
          <w:sz w:val="24"/>
        </w:rPr>
        <w:t>These findings carry several implications for public health practitioners and policy makers. First, the clear platform quality gradient argues against treating the internet as a monolithic information source. Public health messaging strategies should be calibrated to the specific affordances and limitations of each platform. For instance, short-form video platforms such as TikTok and Instagram Reels impose severe constraints on citation, attribution, and nuanced explanation; public health organisations seeking to use these platforms must develop content formats that maximise accuracy within those constraints, such as pinned comments with references or standardised disclosure overlays.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the absence of a positive engagement-quality relationship suggests that high-quality health information does not organically reach large audiences on social media. Public health agencies may therefore need to invest in paid promotion or influencer partnerships to ensure that evidence-based PA information achieves competitive visibility. The World Health Organization (2023) has already endorsed strategic use of social media for health communication, and our data reinforce the need for such strategies to be accompanied by quality assurance mechanisms.</w:t>
      </w:r>
    </w:p>
    <w:p>
      <w:pPr>
        <w:spacing w:before="0" w:after="120" w:line="360" w:lineRule="auto"/>
        <w:ind w:firstLine="709"/>
        <w:jc w:val="both"/>
      </w:pPr>
      <w:r>
        <w:rPr>
          <w:rFonts w:ascii="Times New Roman" w:hAnsi="Times New Roman" w:cs="Times New Roman"/>
          <w:rFonts w:ascii="Times New Roman" w:hAnsi="Times New Roman"/>
          <w:b w:val="0"/>
          <w:i w:val="0"/>
          <w:sz w:val="24"/>
        </w:rPr>
        <w:t>Third, the dominance of non-professional creators on social media platforms calls for educational interventions targeting both content creators and consumers. Creator-side interventions could include platform-integrated prompts to cite sources or disclose conflicts of interest, while consumer-side interventions should focus on enhancing eHealth literacy (Norman &amp; Skinner, 2006) so that users can critically appraise PA content regardless of the platform on which it is encountered. Fox and Duggan (2013) documented that a substantial proportion of health information seekers do not verify the sources they consult; the present data suggest that this problem is compounded on platforms where source verification is structurally difficult.</w:t>
      </w:r>
    </w:p>
    <w:p>
      <w:pPr>
        <w:spacing w:before="240" w:after="120" w:line="360" w:lineRule="auto"/>
        <w:jc w:val="left"/>
      </w:pPr>
      <w:r>
        <w:rPr>
          <w:rFonts w:ascii="Times New Roman" w:hAnsi="Times New Roman" w:cs="Times New Roman"/>
          <w:rFonts w:ascii="Times New Roman" w:hAnsi="Times New Roman"/>
          <w:b/>
          <w:i w:val="0"/>
          <w:sz w:val="24"/>
        </w:rPr>
        <w:t>4.4 Strengths of the Study</w:t>
      </w:r>
    </w:p>
    <w:p>
      <w:pPr>
        <w:spacing w:before="0" w:after="120" w:line="360" w:lineRule="auto"/>
        <w:ind w:firstLine="709"/>
        <w:jc w:val="both"/>
      </w:pPr>
      <w:r>
        <w:rPr>
          <w:rFonts w:ascii="Times New Roman" w:hAnsi="Times New Roman" w:cs="Times New Roman"/>
          <w:rFonts w:ascii="Times New Roman" w:hAnsi="Times New Roman"/>
          <w:b w:val="0"/>
          <w:i w:val="0"/>
          <w:sz w:val="24"/>
        </w:rPr>
        <w:t>This study offers several methodological strengths. To the best of our knowledge, it is the first investigation to compare all four platform types—traditional websites, YouTube, TikTok, and Instagram—within a single study using both the DISCERN instrument and JAMA benchmarks. Previous research has typically examined one or two platforms in isolation, limiting cross-platform inference. The present design enables direct, standardised comparison across the platforms most commonly accessed for PA information.</w:t>
      </w:r>
    </w:p>
    <w:p>
      <w:pPr>
        <w:spacing w:before="0" w:after="120" w:line="360" w:lineRule="auto"/>
        <w:ind w:firstLine="709"/>
        <w:jc w:val="both"/>
      </w:pPr>
      <w:r>
        <w:rPr>
          <w:rFonts w:ascii="Times New Roman" w:hAnsi="Times New Roman" w:cs="Times New Roman"/>
          <w:rFonts w:ascii="Times New Roman" w:hAnsi="Times New Roman"/>
          <w:b w:val="0"/>
          <w:i w:val="0"/>
          <w:sz w:val="24"/>
        </w:rPr>
        <w:t>The sample of 200 items (50 per platform) is larger than many content analysis studies in this domain and was drawn using a systematic protocol of five representative search terms applied uniformly across all platforms. Inter-rater reliability was excellent, with an intraclass correlation coefficient (ICC) of 0.994 for DISCERN scores, well above the commonly accepted threshold of 0.75 (Koo &amp; Li, 2016). This level of agreement strengthens confidence that the observed quality differences reflect genuine content variation rather than rater inconsistency.</w:t>
      </w:r>
    </w:p>
    <w:p>
      <w:pPr>
        <w:spacing w:before="0" w:after="120" w:line="360" w:lineRule="auto"/>
        <w:ind w:firstLine="709"/>
        <w:jc w:val="both"/>
      </w:pPr>
      <w:r>
        <w:rPr>
          <w:rFonts w:ascii="Times New Roman" w:hAnsi="Times New Roman" w:cs="Times New Roman"/>
          <w:rFonts w:ascii="Times New Roman" w:hAnsi="Times New Roman"/>
          <w:b w:val="0"/>
          <w:i w:val="0"/>
          <w:sz w:val="24"/>
        </w:rPr>
        <w:t>Additionally, the use of both DISCERN (measuring reliability and treatment information quality) and JAMA benchmarks (measuring accountability through authorship, attribution, disclosure, and currency) provides a more comprehensive quality profile than either instrument alone. This dual-instrument approach is especially valuable because DISCERN and JAMA capture partially overlapping but distinct dimensions of information quality (Charnock et al., 1999; Silberg et al., 1997).</w:t>
      </w:r>
    </w:p>
    <w:p>
      <w:pPr>
        <w:spacing w:before="240" w:after="120" w:line="360" w:lineRule="auto"/>
        <w:jc w:val="left"/>
      </w:pPr>
      <w:r>
        <w:rPr>
          <w:rFonts w:ascii="Times New Roman" w:hAnsi="Times New Roman" w:cs="Times New Roman"/>
          <w:rFonts w:ascii="Times New Roman" w:hAnsi="Times New Roman"/>
          <w:b/>
          <w:i w:val="0"/>
          <w:sz w:val="24"/>
        </w:rPr>
        <w:t>4.5 Limitations</w:t>
      </w:r>
    </w:p>
    <w:p>
      <w:pPr>
        <w:spacing w:before="0" w:after="120" w:line="360" w:lineRule="auto"/>
        <w:ind w:firstLine="709"/>
        <w:jc w:val="both"/>
      </w:pPr>
      <w:r>
        <w:rPr>
          <w:rFonts w:ascii="Times New Roman" w:hAnsi="Times New Roman" w:cs="Times New Roman"/>
          <w:rFonts w:ascii="Times New Roman" w:hAnsi="Times New Roman"/>
          <w:b w:val="0"/>
          <w:i w:val="0"/>
          <w:sz w:val="24"/>
        </w:rPr>
        <w:t>Several limitations should be considered when interpreting these results. First, the cross-sectional design captures a single snapshot of platform content. Online health information is dynamic; content is continuously created, updated, and removed. The quality landscape observed at the time of data collection may not generalise to other time periods, and longitudinal designs would be needed to track quality trends.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the study was limited to English-language content. Physical activity information in other languages may differ in quality and creator composition, and findings may not transfer to non-English-speaking populations. Third, the scoring of video-based content on YouTube, TikTok, and Instagram relied on titles, descriptions, captions, and visible on-screen text rather than full audiovisual analysis of spoken content. This approach was necessary for feasibility and consistency with the text-oriented DISCERN instrument, but it may underestimate the informational depth of videos whose quality resides primarily in verbal explanation rather than written metadata.</w:t>
      </w:r>
    </w:p>
    <w:p>
      <w:pPr>
        <w:spacing w:before="0" w:after="120" w:line="360" w:lineRule="auto"/>
        <w:ind w:firstLine="709"/>
        <w:jc w:val="both"/>
      </w:pPr>
      <w:r>
        <w:rPr>
          <w:rFonts w:ascii="Times New Roman" w:hAnsi="Times New Roman" w:cs="Times New Roman"/>
          <w:rFonts w:ascii="Times New Roman" w:hAnsi="Times New Roman"/>
          <w:b w:val="0"/>
          <w:i w:val="0"/>
          <w:sz w:val="24"/>
        </w:rPr>
        <w:t>Fourth, the sampling strategy—selecting the top 10 results per search term—captures the most visible content but may not represent the full breadth of PA information available on each platform. Users who scroll beyond the first page or receive personalised algorithmic recommendations may encounter content of different quality. Fifth, although DISCERN is the most widely validated tool for assessing consumer health information, it was originally designed for written patient information leaflets (Charnock et al., 1999). Applying it to social media posts required operationalisation decisions (detailed in Chapter 2) that, while transparent and systematic, represent an adaptation beyond the instrument’s original scope.</w:t>
      </w:r>
    </w:p>
    <w:p>
      <w:pPr>
        <w:spacing w:before="0" w:after="120" w:line="360" w:lineRule="auto"/>
        <w:ind w:firstLine="709"/>
        <w:jc w:val="both"/>
      </w:pPr>
      <w:r>
        <w:rPr>
          <w:rFonts w:ascii="Times New Roman" w:hAnsi="Times New Roman" w:cs="Times New Roman"/>
          <w:rFonts w:ascii="Times New Roman" w:hAnsi="Times New Roman"/>
          <w:b w:val="0"/>
          <w:i w:val="0"/>
          <w:sz w:val="24"/>
        </w:rPr>
        <w:t>Sixth, all searches were conducted from a single geographic location, meaning that search engine and platform algorithms may have returned location-specific results. Users in other regions could encounter a different set of top results for the same queries. Finally, engagement metrics were not uniformly available across all platforms; in particular, Instagram view counts were not captured for all items, which limits the strength of engagement-quality correlations for that platform.</w:t>
      </w:r>
    </w:p>
    <w:p>
      <w:pPr>
        <w:spacing w:before="240" w:after="120" w:line="360" w:lineRule="auto"/>
        <w:jc w:val="left"/>
      </w:pPr>
      <w:r>
        <w:rPr>
          <w:rFonts w:ascii="Times New Roman" w:hAnsi="Times New Roman" w:cs="Times New Roman"/>
          <w:rFonts w:ascii="Times New Roman" w:hAnsi="Times New Roman"/>
          <w:b/>
          <w:i w:val="0"/>
          <w:sz w:val="24"/>
        </w:rPr>
        <w:t>4.6 Recommendations for Future Research</w:t>
      </w:r>
    </w:p>
    <w:p>
      <w:pPr>
        <w:spacing w:before="0" w:after="120" w:line="360" w:lineRule="auto"/>
        <w:ind w:firstLine="709"/>
        <w:jc w:val="both"/>
      </w:pPr>
      <w:r>
        <w:rPr>
          <w:rFonts w:ascii="Times New Roman" w:hAnsi="Times New Roman" w:cs="Times New Roman"/>
          <w:rFonts w:ascii="Times New Roman" w:hAnsi="Times New Roman"/>
          <w:b w:val="0"/>
          <w:i w:val="0"/>
          <w:sz w:val="24"/>
        </w:rPr>
        <w:t>Future research should address the limitations identified above while extending the scope of cross-platform quality assessment. First, longitudinal studies are needed to determine whether the observed quality gradient is stable over time or whether it shifts as platforms evolve their content policies and recommendation algorithms. Repeated assessments at regular intervals (e.g., every six months) would also reveal whether public health interventions targeting content quality produce measurable improvements.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studies should incorporate multilingual samples and diverse geographic search contexts to assess the generalisability of the present findings. The quality of PA information may vary substantially across languages and health systems, and cross-cultural comparisons would inform the design of context-appropriate interventions.</w:t>
      </w:r>
    </w:p>
    <w:p>
      <w:pPr>
        <w:spacing w:before="0" w:after="120" w:line="360" w:lineRule="auto"/>
        <w:ind w:firstLine="709"/>
        <w:jc w:val="both"/>
      </w:pPr>
      <w:r>
        <w:rPr>
          <w:rFonts w:ascii="Times New Roman" w:hAnsi="Times New Roman" w:cs="Times New Roman"/>
          <w:rFonts w:ascii="Times New Roman" w:hAnsi="Times New Roman"/>
          <w:b w:val="0"/>
          <w:i w:val="0"/>
          <w:sz w:val="24"/>
        </w:rPr>
        <w:t>Third, the development of quality assessment instruments specifically designed for audiovisual and short-form content would improve the validity of social media evaluations. While DISCERN remains the gold standard for written health information, its application to 15-second TikTok videos or image-only Instagram posts stretches the instrument beyond its intended use. A validated tool that accounts for the multimodal nature of social media content—including spoken narration, visual demonstrations, and on-screen text—would be a significant methodological advance.</w:t>
      </w:r>
    </w:p>
    <w:p>
      <w:pPr>
        <w:spacing w:before="0" w:after="120" w:line="360" w:lineRule="auto"/>
        <w:ind w:firstLine="709"/>
        <w:jc w:val="both"/>
      </w:pPr>
      <w:r>
        <w:rPr>
          <w:rFonts w:ascii="Times New Roman" w:hAnsi="Times New Roman" w:cs="Times New Roman"/>
          <w:rFonts w:ascii="Times New Roman" w:hAnsi="Times New Roman"/>
          <w:b w:val="0"/>
          <w:i w:val="0"/>
          <w:sz w:val="24"/>
        </w:rPr>
        <w:t>Fourth, experimental and quasi-experimental designs should examine the causal impact of information quality on health behaviour. The present study establishes that quality varies across platforms, but it cannot determine whether exposure to low-quality PA information leads to suboptimal exercise behaviours or, conversely, whether high-quality content promotes adherence to PA guidelines. Linking content quality data to user behaviour outcomes would strengthen the evidence base for quality-improvement interventions.</w:t>
      </w:r>
    </w:p>
    <w:p>
      <w:pPr>
        <w:spacing w:before="0" w:after="120" w:line="360" w:lineRule="auto"/>
        <w:ind w:firstLine="709"/>
        <w:jc w:val="both"/>
      </w:pPr>
      <w:r>
        <w:rPr>
          <w:rFonts w:ascii="Times New Roman" w:hAnsi="Times New Roman" w:cs="Times New Roman"/>
          <w:rFonts w:ascii="Times New Roman" w:hAnsi="Times New Roman"/>
          <w:b w:val="0"/>
          <w:i w:val="0"/>
          <w:sz w:val="24"/>
        </w:rPr>
        <w:t>Fifth, research should investigate the role of platform design features in shaping content quality. A/B testing of interface modifications—such as mandatory source-citation fields, credential-verification badges, or algorithmic boosts for referenced content—could identify practical mechanisms for improving health information quality at scale. Such studies would require collaboration with platform operators but could yield high-impact, population-level benefits.</w:t>
      </w:r>
    </w:p>
    <w:p>
      <w:pPr>
        <w:spacing w:before="0" w:after="120" w:line="360" w:lineRule="auto"/>
        <w:ind w:firstLine="709"/>
        <w:jc w:val="both"/>
      </w:pPr>
      <w:r>
        <w:rPr>
          <w:rFonts w:ascii="Times New Roman" w:hAnsi="Times New Roman" w:cs="Times New Roman"/>
          <w:rFonts w:ascii="Times New Roman" w:hAnsi="Times New Roman"/>
          <w:b w:val="0"/>
          <w:i w:val="0"/>
          <w:sz w:val="24"/>
        </w:rPr>
        <w:t>Finally, the relationship between engagement metrics and quality deserves deeper investigation using more granular data. Access to algorithmic ranking signals, watch time, completion rates, and share-to-view ratios—data that are not publicly available but may be accessible through platform research APIs—would enable more nuanced modelling of how recommendation systems interact with information quality. Understanding these dynamics is essential for designing interventions that align algorithmic incentives with public health objectives.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